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1B0AC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rPr>
        <w:t>内蒙古自治区文化馆关于</w:t>
      </w:r>
      <w:r>
        <w:rPr>
          <w:rFonts w:hint="eastAsia" w:ascii="方正小标宋简体" w:hAnsi="方正小标宋简体" w:eastAsia="方正小标宋简体" w:cs="方正小标宋简体"/>
          <w:sz w:val="44"/>
          <w:szCs w:val="44"/>
          <w:lang w:eastAsia="zh-CN"/>
        </w:rPr>
        <w:t>增设</w:t>
      </w:r>
      <w:r>
        <w:rPr>
          <w:rFonts w:hint="eastAsia" w:ascii="方正小标宋简体" w:hAnsi="方正小标宋简体" w:eastAsia="方正小标宋简体" w:cs="方正小标宋简体"/>
          <w:sz w:val="44"/>
          <w:szCs w:val="44"/>
          <w:lang w:val="en-US" w:eastAsia="zh-CN"/>
        </w:rPr>
        <w:t>安防监控</w:t>
      </w:r>
    </w:p>
    <w:p w14:paraId="0B130FB2">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val="en-US" w:eastAsia="zh-CN"/>
        </w:rPr>
        <w:t>设备及存储扩容项目</w:t>
      </w:r>
      <w:r>
        <w:rPr>
          <w:rFonts w:hint="eastAsia" w:ascii="方正小标宋简体" w:hAnsi="方正小标宋简体" w:eastAsia="方正小标宋简体" w:cs="方正小标宋简体"/>
          <w:sz w:val="44"/>
          <w:szCs w:val="44"/>
        </w:rPr>
        <w:t>市场</w:t>
      </w:r>
      <w:r>
        <w:rPr>
          <w:rFonts w:hint="eastAsia" w:ascii="方正小标宋简体" w:hAnsi="方正小标宋简体" w:eastAsia="方正小标宋简体" w:cs="方正小标宋简体"/>
          <w:sz w:val="44"/>
          <w:szCs w:val="44"/>
          <w:lang w:eastAsia="zh-CN"/>
        </w:rPr>
        <w:t>调研</w:t>
      </w:r>
      <w:r>
        <w:rPr>
          <w:rFonts w:hint="eastAsia" w:ascii="方正小标宋简体" w:hAnsi="方正小标宋简体" w:eastAsia="方正小标宋简体" w:cs="方正小标宋简体"/>
          <w:sz w:val="44"/>
          <w:szCs w:val="44"/>
        </w:rPr>
        <w:t>的函</w:t>
      </w:r>
    </w:p>
    <w:p w14:paraId="4587A2A2">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rPr>
      </w:pPr>
    </w:p>
    <w:p w14:paraId="6739D191">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rPr>
      </w:pPr>
      <w:r>
        <w:rPr>
          <w:rFonts w:hint="eastAsia" w:ascii="国标仿宋-GB/T 2312" w:hAnsi="国标仿宋-GB/T 2312" w:eastAsia="国标仿宋-GB/T 2312" w:cs="国标仿宋-GB/T 2312"/>
          <w:sz w:val="32"/>
          <w:szCs w:val="32"/>
        </w:rPr>
        <w:t>据《中华人民共和国政府采购法》和《中华人民共和国政府采购法实施条例》等有关规定和要求</w:t>
      </w:r>
      <w:r>
        <w:rPr>
          <w:rFonts w:hint="eastAsia" w:ascii="国标仿宋-GB/T 2312" w:hAnsi="国标仿宋-GB/T 2312" w:eastAsia="国标仿宋-GB/T 2312" w:cs="国标仿宋-GB/T 2312"/>
          <w:sz w:val="32"/>
          <w:szCs w:val="32"/>
          <w:lang w:eastAsia="zh-CN"/>
        </w:rPr>
        <w:t>，</w:t>
      </w:r>
      <w:r>
        <w:rPr>
          <w:rFonts w:hint="eastAsia" w:ascii="国标仿宋-GB/T 2312" w:hAnsi="国标仿宋-GB/T 2312" w:eastAsia="国标仿宋-GB/T 2312" w:cs="国标仿宋-GB/T 2312"/>
          <w:sz w:val="32"/>
          <w:szCs w:val="32"/>
        </w:rPr>
        <w:t>我单位因</w:t>
      </w:r>
      <w:r>
        <w:rPr>
          <w:rFonts w:hint="eastAsia" w:ascii="国标仿宋-GB/T 2312" w:hAnsi="国标仿宋-GB/T 2312" w:eastAsia="国标仿宋-GB/T 2312" w:cs="国标仿宋-GB/T 2312"/>
          <w:sz w:val="32"/>
          <w:szCs w:val="32"/>
          <w:lang w:eastAsia="zh-CN"/>
        </w:rPr>
        <w:t>增设安防监控设备及存储扩容</w:t>
      </w:r>
      <w:r>
        <w:rPr>
          <w:rFonts w:hint="eastAsia" w:ascii="国标仿宋-GB/T 2312" w:hAnsi="国标仿宋-GB/T 2312" w:eastAsia="国标仿宋-GB/T 2312" w:cs="国标仿宋-GB/T 2312"/>
          <w:sz w:val="32"/>
          <w:szCs w:val="32"/>
        </w:rPr>
        <w:t>，现拟开展市场调研工作，请有意向的单位按要求递交相关资料。</w:t>
      </w:r>
    </w:p>
    <w:p w14:paraId="2B24A189">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黑体" w:hAnsi="国标黑体" w:eastAsia="国标黑体" w:cs="国标黑体"/>
          <w:sz w:val="32"/>
          <w:szCs w:val="32"/>
        </w:rPr>
      </w:pPr>
      <w:r>
        <w:rPr>
          <w:rFonts w:hint="eastAsia" w:ascii="国标黑体" w:hAnsi="国标黑体" w:eastAsia="国标黑体" w:cs="国标黑体"/>
          <w:sz w:val="32"/>
          <w:szCs w:val="32"/>
          <w:lang w:val="en-US" w:eastAsia="zh-CN"/>
        </w:rPr>
        <w:t>一、</w:t>
      </w:r>
      <w:r>
        <w:rPr>
          <w:rFonts w:hint="eastAsia" w:ascii="国标黑体" w:hAnsi="国标黑体" w:eastAsia="国标黑体" w:cs="国标黑体"/>
          <w:sz w:val="32"/>
          <w:szCs w:val="32"/>
        </w:rPr>
        <w:t>项目简要说明</w:t>
      </w:r>
    </w:p>
    <w:p w14:paraId="7C0C5656">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val="en-US" w:eastAsia="zh-CN"/>
        </w:rPr>
      </w:pPr>
      <w:r>
        <w:rPr>
          <w:rFonts w:hint="eastAsia" w:ascii="国标仿宋-GB/T 2312" w:hAnsi="国标仿宋-GB/T 2312" w:eastAsia="国标仿宋-GB/T 2312" w:cs="国标仿宋-GB/T 2312"/>
          <w:sz w:val="32"/>
          <w:szCs w:val="32"/>
          <w:lang w:val="en-US" w:eastAsia="zh-CN"/>
        </w:rPr>
        <w:t>1、项目名称：增设安防监控设备及存储扩容</w:t>
      </w:r>
    </w:p>
    <w:p w14:paraId="13178F12">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val="en-US" w:eastAsia="zh-CN"/>
        </w:rPr>
      </w:pPr>
      <w:r>
        <w:rPr>
          <w:rFonts w:hint="eastAsia" w:ascii="国标仿宋-GB/T 2312" w:hAnsi="国标仿宋-GB/T 2312" w:eastAsia="国标仿宋-GB/T 2312" w:cs="国标仿宋-GB/T 2312"/>
          <w:sz w:val="32"/>
          <w:szCs w:val="32"/>
          <w:lang w:val="en-US" w:eastAsia="zh-CN"/>
        </w:rPr>
        <w:t>2、服务内容：在室外、剧场及各设备机房增设监控，扩大存储容量</w:t>
      </w:r>
    </w:p>
    <w:p w14:paraId="4F5D6BDD">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国标黑体" w:hAnsi="国标黑体" w:eastAsia="国标黑体" w:cs="国标黑体"/>
          <w:sz w:val="32"/>
          <w:szCs w:val="32"/>
          <w:lang w:val="en-US" w:eastAsia="zh-CN"/>
        </w:rPr>
      </w:pPr>
      <w:r>
        <w:rPr>
          <w:rFonts w:hint="eastAsia" w:ascii="国标黑体" w:hAnsi="国标黑体" w:eastAsia="国标黑体" w:cs="国标黑体"/>
          <w:sz w:val="32"/>
          <w:szCs w:val="32"/>
          <w:lang w:val="en-US" w:eastAsia="zh-CN"/>
        </w:rPr>
        <w:t>二、控制价</w:t>
      </w:r>
    </w:p>
    <w:p w14:paraId="61A77424">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国标仿宋-GB/T 2312" w:hAnsi="国标仿宋-GB/T 2312" w:eastAsia="国标仿宋-GB/T 2312" w:cs="国标仿宋-GB/T 2312"/>
          <w:sz w:val="32"/>
          <w:szCs w:val="32"/>
          <w:lang w:val="en-US" w:eastAsia="zh-CN"/>
        </w:rPr>
      </w:pPr>
      <w:r>
        <w:rPr>
          <w:rFonts w:hint="eastAsia" w:ascii="国标仿宋-GB/T 2312" w:hAnsi="国标仿宋-GB/T 2312" w:eastAsia="国标仿宋-GB/T 2312" w:cs="国标仿宋-GB/T 2312"/>
          <w:sz w:val="32"/>
          <w:szCs w:val="32"/>
          <w:lang w:val="en-US" w:eastAsia="zh-CN"/>
        </w:rPr>
        <w:t>60万元。</w:t>
      </w:r>
    </w:p>
    <w:p w14:paraId="42D07F50">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黑体" w:hAnsi="国标黑体" w:eastAsia="国标黑体" w:cs="国标黑体"/>
          <w:sz w:val="32"/>
          <w:szCs w:val="32"/>
          <w:lang w:val="en-US" w:eastAsia="zh-CN"/>
        </w:rPr>
      </w:pPr>
      <w:r>
        <w:rPr>
          <w:rFonts w:hint="eastAsia" w:ascii="国标黑体" w:hAnsi="国标黑体" w:eastAsia="国标黑体" w:cs="国标黑体"/>
          <w:sz w:val="32"/>
          <w:szCs w:val="32"/>
          <w:lang w:val="en-US" w:eastAsia="zh-CN"/>
        </w:rPr>
        <w:t>三</w:t>
      </w:r>
      <w:r>
        <w:rPr>
          <w:rFonts w:hint="default" w:ascii="国标黑体" w:hAnsi="国标黑体" w:eastAsia="国标黑体" w:cs="国标黑体"/>
          <w:sz w:val="32"/>
          <w:szCs w:val="32"/>
          <w:lang w:val="en-US" w:eastAsia="zh-CN"/>
        </w:rPr>
        <w:t>、询价单位资格要求</w:t>
      </w:r>
    </w:p>
    <w:p w14:paraId="08C5D3F3">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val="en-US" w:eastAsia="zh-CN"/>
        </w:rPr>
      </w:pPr>
      <w:r>
        <w:rPr>
          <w:rFonts w:hint="default" w:ascii="国标仿宋-GB/T 2312" w:hAnsi="国标仿宋-GB/T 2312" w:eastAsia="国标仿宋-GB/T 2312" w:cs="国标仿宋-GB/T 2312"/>
          <w:sz w:val="32"/>
          <w:szCs w:val="32"/>
          <w:lang w:val="en-US" w:eastAsia="zh-CN"/>
        </w:rPr>
        <w:t>1.必须是独立注册的法人，具备合格有效的营业执照。</w:t>
      </w:r>
    </w:p>
    <w:p w14:paraId="14F1A965">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val="en-US" w:eastAsia="zh-CN"/>
        </w:rPr>
      </w:pPr>
      <w:r>
        <w:rPr>
          <w:rFonts w:hint="default" w:ascii="国标仿宋-GB/T 2312" w:hAnsi="国标仿宋-GB/T 2312" w:eastAsia="国标仿宋-GB/T 2312" w:cs="国标仿宋-GB/T 2312"/>
          <w:sz w:val="32"/>
          <w:szCs w:val="32"/>
          <w:lang w:val="en-US" w:eastAsia="zh-CN"/>
        </w:rPr>
        <w:t>2.具有从事本项目的相关资质。</w:t>
      </w:r>
    </w:p>
    <w:p w14:paraId="1CDAC876">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val="en-US" w:eastAsia="zh-CN"/>
        </w:rPr>
      </w:pPr>
      <w:r>
        <w:rPr>
          <w:rFonts w:hint="default" w:ascii="国标仿宋-GB/T 2312" w:hAnsi="国标仿宋-GB/T 2312" w:eastAsia="国标仿宋-GB/T 2312" w:cs="国标仿宋-GB/T 2312"/>
          <w:sz w:val="32"/>
          <w:szCs w:val="32"/>
          <w:lang w:val="en-US" w:eastAsia="zh-CN"/>
        </w:rPr>
        <w:t>3.具有独立承担民事责任的能力。</w:t>
      </w:r>
    </w:p>
    <w:p w14:paraId="113D909D">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val="en-US" w:eastAsia="zh-CN"/>
        </w:rPr>
      </w:pPr>
      <w:r>
        <w:rPr>
          <w:rFonts w:hint="default" w:ascii="国标仿宋-GB/T 2312" w:hAnsi="国标仿宋-GB/T 2312" w:eastAsia="国标仿宋-GB/T 2312" w:cs="国标仿宋-GB/T 2312"/>
          <w:sz w:val="32"/>
          <w:szCs w:val="32"/>
          <w:lang w:val="en-US" w:eastAsia="zh-CN"/>
        </w:rPr>
        <w:t>4.必须具有对公银行账户。</w:t>
      </w:r>
    </w:p>
    <w:p w14:paraId="1C4157BE">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val="en-US" w:eastAsia="zh-CN"/>
        </w:rPr>
      </w:pPr>
      <w:r>
        <w:rPr>
          <w:rFonts w:hint="default" w:ascii="国标仿宋-GB/T 2312" w:hAnsi="国标仿宋-GB/T 2312" w:eastAsia="国标仿宋-GB/T 2312" w:cs="国标仿宋-GB/T 2312"/>
          <w:sz w:val="32"/>
          <w:szCs w:val="32"/>
          <w:lang w:val="en-US" w:eastAsia="zh-CN"/>
        </w:rPr>
        <w:t>5.企业未被纳入失信被执行人名单。</w:t>
      </w:r>
      <w:r>
        <w:rPr>
          <w:rFonts w:hint="eastAsia" w:ascii="国标仿宋-GB/T 2312" w:hAnsi="国标仿宋-GB/T 2312" w:eastAsia="国标仿宋-GB/T 2312" w:cs="国标仿宋-GB/T 2312"/>
          <w:sz w:val="32"/>
          <w:szCs w:val="32"/>
          <w:lang w:val="en-US" w:eastAsia="zh-CN"/>
        </w:rPr>
        <w:t xml:space="preserve">（信用记录查询渠道：“信用中国”网站： </w:t>
      </w:r>
      <w:r>
        <w:rPr>
          <w:rFonts w:hint="eastAsia" w:ascii="国标仿宋-GB/T 2312" w:hAnsi="国标仿宋-GB/T 2312" w:eastAsia="国标仿宋-GB/T 2312" w:cs="国标仿宋-GB/T 2312"/>
          <w:sz w:val="32"/>
          <w:szCs w:val="32"/>
          <w:lang w:val="en-US" w:eastAsia="zh-CN"/>
        </w:rPr>
        <w:fldChar w:fldCharType="begin"/>
      </w:r>
      <w:r>
        <w:rPr>
          <w:rFonts w:hint="eastAsia" w:ascii="国标仿宋-GB/T 2312" w:hAnsi="国标仿宋-GB/T 2312" w:eastAsia="国标仿宋-GB/T 2312" w:cs="国标仿宋-GB/T 2312"/>
          <w:sz w:val="32"/>
          <w:szCs w:val="32"/>
          <w:lang w:val="en-US" w:eastAsia="zh-CN"/>
        </w:rPr>
        <w:instrText xml:space="preserve"> HYPERLINK "http://www.creditchina.gov.cn、" </w:instrText>
      </w:r>
      <w:r>
        <w:rPr>
          <w:rFonts w:hint="eastAsia" w:ascii="国标仿宋-GB/T 2312" w:hAnsi="国标仿宋-GB/T 2312" w:eastAsia="国标仿宋-GB/T 2312" w:cs="国标仿宋-GB/T 2312"/>
          <w:sz w:val="32"/>
          <w:szCs w:val="32"/>
          <w:lang w:val="en-US" w:eastAsia="zh-CN"/>
        </w:rPr>
        <w:fldChar w:fldCharType="separate"/>
      </w:r>
      <w:r>
        <w:rPr>
          <w:rFonts w:hint="eastAsia" w:ascii="国标仿宋-GB/T 2312" w:hAnsi="国标仿宋-GB/T 2312" w:eastAsia="国标仿宋-GB/T 2312" w:cs="国标仿宋-GB/T 2312"/>
          <w:sz w:val="32"/>
          <w:szCs w:val="32"/>
          <w:lang w:val="en-US" w:eastAsia="zh-CN"/>
        </w:rPr>
        <w:t>www.creditchina.gov.cn、</w:t>
      </w:r>
      <w:r>
        <w:rPr>
          <w:rFonts w:hint="eastAsia" w:ascii="国标仿宋-GB/T 2312" w:hAnsi="国标仿宋-GB/T 2312" w:eastAsia="国标仿宋-GB/T 2312" w:cs="国标仿宋-GB/T 2312"/>
          <w:sz w:val="32"/>
          <w:szCs w:val="32"/>
          <w:lang w:val="en-US" w:eastAsia="zh-CN"/>
        </w:rPr>
        <w:fldChar w:fldCharType="end"/>
      </w:r>
      <w:r>
        <w:rPr>
          <w:rFonts w:hint="eastAsia" w:ascii="国标仿宋-GB/T 2312" w:hAnsi="国标仿宋-GB/T 2312" w:eastAsia="国标仿宋-GB/T 2312" w:cs="国标仿宋-GB/T 2312"/>
          <w:sz w:val="32"/>
          <w:szCs w:val="32"/>
          <w:lang w:val="en-US" w:eastAsia="zh-CN"/>
        </w:rPr>
        <w:t xml:space="preserve"> 中国政府采购网www.ccgp.gov.cn）</w:t>
      </w:r>
    </w:p>
    <w:p w14:paraId="66AB47D6">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rPr>
      </w:pPr>
      <w:r>
        <w:rPr>
          <w:rFonts w:hint="default" w:ascii="国标仿宋-GB/T 2312" w:hAnsi="国标仿宋-GB/T 2312" w:eastAsia="国标仿宋-GB/T 2312" w:cs="国标仿宋-GB/T 2312"/>
          <w:sz w:val="32"/>
          <w:szCs w:val="32"/>
        </w:rPr>
        <w:t>6.本项目不接受联合体参与。</w:t>
      </w:r>
    </w:p>
    <w:p w14:paraId="28461371">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rPr>
      </w:pPr>
      <w:r>
        <w:rPr>
          <w:rFonts w:hint="default" w:ascii="国标仿宋-GB/T 2312" w:hAnsi="国标仿宋-GB/T 2312" w:eastAsia="国标仿宋-GB/T 2312" w:cs="国标仿宋-GB/T 2312"/>
          <w:sz w:val="32"/>
          <w:szCs w:val="32"/>
        </w:rPr>
        <w:t>7.法律、行政法规规定的其他条件。</w:t>
      </w:r>
    </w:p>
    <w:p w14:paraId="7EB1ACF1">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国标仿宋-GB/T 2312" w:hAnsi="国标仿宋-GB/T 2312" w:eastAsia="国标仿宋-GB/T 2312" w:cs="国标仿宋-GB/T 2312"/>
          <w:sz w:val="32"/>
          <w:szCs w:val="32"/>
        </w:rPr>
      </w:pPr>
      <w:r>
        <w:rPr>
          <w:rFonts w:hint="default" w:ascii="国标仿宋-GB/T 2312" w:hAnsi="国标仿宋-GB/T 2312" w:eastAsia="国标仿宋-GB/T 2312" w:cs="国标仿宋-GB/T 2312"/>
          <w:sz w:val="32"/>
          <w:szCs w:val="32"/>
        </w:rPr>
        <w:t>8.针对本项目的询价表（加盖单位公章）。</w:t>
      </w:r>
    </w:p>
    <w:p w14:paraId="5A3790BB">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黑体" w:hAnsi="国标黑体" w:eastAsia="国标黑体" w:cs="国标黑体"/>
          <w:sz w:val="32"/>
          <w:szCs w:val="32"/>
          <w:lang w:val="en-US" w:eastAsia="zh-CN"/>
        </w:rPr>
      </w:pPr>
      <w:r>
        <w:rPr>
          <w:rFonts w:hint="eastAsia" w:ascii="国标黑体" w:hAnsi="国标黑体" w:eastAsia="国标黑体" w:cs="国标黑体"/>
          <w:sz w:val="32"/>
          <w:szCs w:val="32"/>
          <w:lang w:val="en-US" w:eastAsia="zh-CN"/>
        </w:rPr>
        <w:t>四</w:t>
      </w:r>
      <w:r>
        <w:rPr>
          <w:rFonts w:hint="default" w:ascii="国标黑体" w:hAnsi="国标黑体" w:eastAsia="国标黑体" w:cs="国标黑体"/>
          <w:sz w:val="32"/>
          <w:szCs w:val="32"/>
          <w:lang w:val="en-US" w:eastAsia="zh-CN"/>
        </w:rPr>
        <w:t>、报送材料要求</w:t>
      </w:r>
    </w:p>
    <w:p w14:paraId="21FF3171">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国标仿宋-GB/T 2312" w:hAnsi="国标仿宋-GB/T 2312" w:eastAsia="国标仿宋-GB/T 2312" w:cs="国标仿宋-GB/T 2312"/>
          <w:sz w:val="32"/>
          <w:szCs w:val="32"/>
        </w:rPr>
      </w:pPr>
      <w:r>
        <w:rPr>
          <w:rFonts w:hint="default" w:ascii="国标仿宋-GB/T 2312" w:hAnsi="国标仿宋-GB/T 2312" w:eastAsia="国标仿宋-GB/T 2312" w:cs="国标仿宋-GB/T 2312"/>
          <w:sz w:val="32"/>
          <w:szCs w:val="32"/>
        </w:rPr>
        <w:t>1、供应商应按照各内容要求，提供详细的报价方案（加盖单位公章），应包括各项单价、各项总价、整体总价等内容(包含税费等)和从事相关业务的证明资料(加盖单位公章)。</w:t>
      </w:r>
    </w:p>
    <w:p w14:paraId="3AFB11EA">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国标仿宋-GB/T 2312" w:hAnsi="国标仿宋-GB/T 2312" w:eastAsia="国标仿宋-GB/T 2312" w:cs="国标仿宋-GB/T 2312"/>
          <w:sz w:val="32"/>
          <w:szCs w:val="32"/>
        </w:rPr>
      </w:pPr>
      <w:r>
        <w:rPr>
          <w:rFonts w:hint="default" w:ascii="国标仿宋-GB/T 2312" w:hAnsi="国标仿宋-GB/T 2312" w:eastAsia="国标仿宋-GB/T 2312" w:cs="国标仿宋-GB/T 2312"/>
          <w:sz w:val="32"/>
          <w:szCs w:val="32"/>
        </w:rPr>
        <w:t>2、供应商应对所提供的全部资料的真实性、合法性承担法律责任。未按要求提供的文件将不作为参考依据。</w:t>
      </w:r>
    </w:p>
    <w:p w14:paraId="63194987">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国标黑体" w:hAnsi="国标黑体" w:eastAsia="国标黑体" w:cs="国标黑体"/>
          <w:sz w:val="32"/>
          <w:szCs w:val="32"/>
          <w:lang w:val="en-US" w:eastAsia="zh-CN"/>
        </w:rPr>
      </w:pPr>
      <w:r>
        <w:rPr>
          <w:rFonts w:hint="eastAsia" w:ascii="国标黑体" w:hAnsi="国标黑体" w:eastAsia="国标黑体" w:cs="国标黑体"/>
          <w:sz w:val="32"/>
          <w:szCs w:val="32"/>
          <w:lang w:val="en-US" w:eastAsia="zh-CN"/>
        </w:rPr>
        <w:t>五</w:t>
      </w:r>
      <w:r>
        <w:rPr>
          <w:rFonts w:hint="default" w:ascii="国标黑体" w:hAnsi="国标黑体" w:eastAsia="国标黑体" w:cs="国标黑体"/>
          <w:sz w:val="32"/>
          <w:szCs w:val="32"/>
          <w:lang w:val="en-US" w:eastAsia="zh-CN"/>
        </w:rPr>
        <w:t>、材料报送时间及方式</w:t>
      </w:r>
    </w:p>
    <w:p w14:paraId="5E58C17D">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国标仿宋-GB/T 2312" w:hAnsi="国标仿宋-GB/T 2312" w:eastAsia="国标仿宋-GB/T 2312" w:cs="国标仿宋-GB/T 2312"/>
          <w:sz w:val="32"/>
          <w:szCs w:val="32"/>
        </w:rPr>
      </w:pPr>
      <w:r>
        <w:rPr>
          <w:rFonts w:hint="default" w:ascii="国标仿宋-GB/T 2312" w:hAnsi="国标仿宋-GB/T 2312" w:eastAsia="国标仿宋-GB/T 2312" w:cs="国标仿宋-GB/T 2312"/>
          <w:sz w:val="32"/>
          <w:szCs w:val="32"/>
        </w:rPr>
        <w:t>须在本通知规定的截止时间(20</w:t>
      </w:r>
      <w:r>
        <w:rPr>
          <w:rFonts w:hint="eastAsia" w:ascii="国标仿宋-GB/T 2312" w:hAnsi="国标仿宋-GB/T 2312" w:eastAsia="国标仿宋-GB/T 2312" w:cs="国标仿宋-GB/T 2312"/>
          <w:sz w:val="32"/>
          <w:szCs w:val="32"/>
          <w:lang w:val="en-US" w:eastAsia="zh-CN"/>
        </w:rPr>
        <w:t>25</w:t>
      </w:r>
      <w:r>
        <w:rPr>
          <w:rFonts w:hint="default" w:ascii="国标仿宋-GB/T 2312" w:hAnsi="国标仿宋-GB/T 2312" w:eastAsia="国标仿宋-GB/T 2312" w:cs="国标仿宋-GB/T 2312"/>
          <w:sz w:val="32"/>
          <w:szCs w:val="32"/>
        </w:rPr>
        <w:t>年</w:t>
      </w:r>
      <w:r>
        <w:rPr>
          <w:rFonts w:hint="eastAsia" w:ascii="国标仿宋-GB/T 2312" w:hAnsi="国标仿宋-GB/T 2312" w:eastAsia="国标仿宋-GB/T 2312" w:cs="国标仿宋-GB/T 2312"/>
          <w:sz w:val="32"/>
          <w:szCs w:val="32"/>
          <w:lang w:val="en-US" w:eastAsia="zh-CN"/>
        </w:rPr>
        <w:t>5</w:t>
      </w:r>
      <w:r>
        <w:rPr>
          <w:rFonts w:hint="default" w:ascii="国标仿宋-GB/T 2312" w:hAnsi="国标仿宋-GB/T 2312" w:eastAsia="国标仿宋-GB/T 2312" w:cs="国标仿宋-GB/T 2312"/>
          <w:sz w:val="32"/>
          <w:szCs w:val="32"/>
        </w:rPr>
        <w:t>月</w:t>
      </w:r>
      <w:r>
        <w:rPr>
          <w:rFonts w:hint="eastAsia" w:ascii="国标仿宋-GB/T 2312" w:hAnsi="国标仿宋-GB/T 2312" w:eastAsia="国标仿宋-GB/T 2312" w:cs="国标仿宋-GB/T 2312"/>
          <w:sz w:val="32"/>
          <w:szCs w:val="32"/>
          <w:lang w:val="en-US" w:eastAsia="zh-CN"/>
        </w:rPr>
        <w:t>11</w:t>
      </w:r>
      <w:r>
        <w:rPr>
          <w:rFonts w:hint="default" w:ascii="国标仿宋-GB/T 2312" w:hAnsi="国标仿宋-GB/T 2312" w:eastAsia="国标仿宋-GB/T 2312" w:cs="国标仿宋-GB/T 2312"/>
          <w:sz w:val="32"/>
          <w:szCs w:val="32"/>
        </w:rPr>
        <w:t>日1</w:t>
      </w:r>
      <w:r>
        <w:rPr>
          <w:rFonts w:hint="eastAsia" w:ascii="国标仿宋-GB/T 2312" w:hAnsi="国标仿宋-GB/T 2312" w:eastAsia="国标仿宋-GB/T 2312" w:cs="国标仿宋-GB/T 2312"/>
          <w:sz w:val="32"/>
          <w:szCs w:val="32"/>
          <w:lang w:val="en-US" w:eastAsia="zh-CN"/>
        </w:rPr>
        <w:t>7</w:t>
      </w:r>
      <w:r>
        <w:rPr>
          <w:rFonts w:hint="default" w:ascii="国标仿宋-GB/T 2312" w:hAnsi="国标仿宋-GB/T 2312" w:eastAsia="国标仿宋-GB/T 2312" w:cs="国标仿宋-GB/T 2312"/>
          <w:sz w:val="32"/>
          <w:szCs w:val="32"/>
        </w:rPr>
        <w:t>:00)前，将加盖公章的PDF文件发送邮箱：</w:t>
      </w:r>
      <w:r>
        <w:rPr>
          <w:rFonts w:hint="default" w:ascii="国标仿宋-GB/T 2312" w:hAnsi="国标仿宋-GB/T 2312" w:eastAsia="国标仿宋-GB/T 2312" w:cs="国标仿宋-GB/T 2312"/>
          <w:sz w:val="32"/>
          <w:szCs w:val="32"/>
        </w:rPr>
        <w:fldChar w:fldCharType="begin"/>
      </w:r>
      <w:r>
        <w:rPr>
          <w:rFonts w:hint="default" w:ascii="国标仿宋-GB/T 2312" w:hAnsi="国标仿宋-GB/T 2312" w:eastAsia="国标仿宋-GB/T 2312" w:cs="国标仿宋-GB/T 2312"/>
          <w:sz w:val="32"/>
          <w:szCs w:val="32"/>
        </w:rPr>
        <w:instrText xml:space="preserve"> HYPERLINK "mailto:nmgwhgzhk@163.com。" </w:instrText>
      </w:r>
      <w:r>
        <w:rPr>
          <w:rFonts w:hint="default" w:ascii="国标仿宋-GB/T 2312" w:hAnsi="国标仿宋-GB/T 2312" w:eastAsia="国标仿宋-GB/T 2312" w:cs="国标仿宋-GB/T 2312"/>
          <w:sz w:val="32"/>
          <w:szCs w:val="32"/>
        </w:rPr>
        <w:fldChar w:fldCharType="separate"/>
      </w:r>
      <w:r>
        <w:rPr>
          <w:rFonts w:hint="default" w:ascii="国标仿宋-GB/T 2312" w:hAnsi="国标仿宋-GB/T 2312" w:eastAsia="国标仿宋-GB/T 2312" w:cs="国标仿宋-GB/T 2312"/>
          <w:sz w:val="32"/>
          <w:szCs w:val="32"/>
        </w:rPr>
        <w:t>nmgwhgzhk@163.com。</w:t>
      </w:r>
      <w:r>
        <w:rPr>
          <w:rFonts w:hint="default" w:ascii="国标仿宋-GB/T 2312" w:hAnsi="国标仿宋-GB/T 2312" w:eastAsia="国标仿宋-GB/T 2312" w:cs="国标仿宋-GB/T 2312"/>
          <w:sz w:val="32"/>
          <w:szCs w:val="32"/>
        </w:rPr>
        <w:fldChar w:fldCharType="end"/>
      </w:r>
    </w:p>
    <w:p w14:paraId="7E2563E9">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eastAsia="zh-CN"/>
        </w:rPr>
      </w:pPr>
      <w:r>
        <w:rPr>
          <w:rFonts w:hint="eastAsia" w:ascii="国标仿宋-GB/T 2312" w:hAnsi="国标仿宋-GB/T 2312" w:eastAsia="国标仿宋-GB/T 2312" w:cs="国标仿宋-GB/T 2312"/>
          <w:sz w:val="32"/>
          <w:szCs w:val="32"/>
          <w:lang w:eastAsia="zh-CN"/>
        </w:rPr>
        <w:t>纸质材料</w:t>
      </w:r>
      <w:r>
        <w:rPr>
          <w:rFonts w:hint="eastAsia" w:ascii="国标仿宋-GB/T 2312" w:hAnsi="国标仿宋-GB/T 2312" w:eastAsia="国标仿宋-GB/T 2312" w:cs="国标仿宋-GB/T 2312"/>
          <w:sz w:val="32"/>
          <w:szCs w:val="32"/>
        </w:rPr>
        <w:t>响应文件递交</w:t>
      </w:r>
      <w:r>
        <w:rPr>
          <w:rFonts w:hint="eastAsia" w:ascii="国标仿宋-GB/T 2312" w:hAnsi="国标仿宋-GB/T 2312" w:eastAsia="国标仿宋-GB/T 2312" w:cs="国标仿宋-GB/T 2312"/>
          <w:sz w:val="32"/>
          <w:szCs w:val="32"/>
          <w:lang w:val="en-US" w:eastAsia="zh-CN"/>
        </w:rPr>
        <w:t>地址</w:t>
      </w:r>
      <w:r>
        <w:rPr>
          <w:rFonts w:hint="eastAsia" w:ascii="国标仿宋-GB/T 2312" w:hAnsi="国标仿宋-GB/T 2312" w:eastAsia="国标仿宋-GB/T 2312" w:cs="国标仿宋-GB/T 2312"/>
          <w:sz w:val="32"/>
          <w:szCs w:val="32"/>
        </w:rPr>
        <w:t>：内蒙古自治区呼和浩特市回民区</w:t>
      </w:r>
      <w:r>
        <w:rPr>
          <w:rFonts w:hint="eastAsia" w:ascii="国标仿宋-GB/T 2312" w:hAnsi="国标仿宋-GB/T 2312" w:eastAsia="国标仿宋-GB/T 2312" w:cs="国标仿宋-GB/T 2312"/>
          <w:sz w:val="32"/>
          <w:szCs w:val="32"/>
          <w:lang w:val="en-US" w:eastAsia="zh-CN"/>
        </w:rPr>
        <w:t>群艺馆巷1号</w:t>
      </w:r>
      <w:r>
        <w:rPr>
          <w:rFonts w:hint="eastAsia" w:ascii="国标仿宋-GB/T 2312" w:hAnsi="国标仿宋-GB/T 2312" w:eastAsia="国标仿宋-GB/T 2312" w:cs="国标仿宋-GB/T 2312"/>
          <w:sz w:val="32"/>
          <w:szCs w:val="32"/>
        </w:rPr>
        <w:t>内蒙古群众艺术馆</w:t>
      </w:r>
      <w:r>
        <w:rPr>
          <w:rFonts w:hint="eastAsia" w:ascii="国标仿宋-GB/T 2312" w:hAnsi="国标仿宋-GB/T 2312" w:eastAsia="国标仿宋-GB/T 2312" w:cs="国标仿宋-GB/T 2312"/>
          <w:sz w:val="32"/>
          <w:szCs w:val="32"/>
          <w:lang w:val="en-US" w:eastAsia="zh-CN"/>
        </w:rPr>
        <w:t>1楼。</w:t>
      </w:r>
    </w:p>
    <w:p w14:paraId="544DE59D">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国标黑体" w:hAnsi="国标黑体" w:eastAsia="国标黑体" w:cs="国标黑体"/>
          <w:sz w:val="32"/>
          <w:szCs w:val="32"/>
          <w:lang w:val="en-US" w:eastAsia="zh-CN"/>
        </w:rPr>
      </w:pPr>
      <w:r>
        <w:rPr>
          <w:rFonts w:hint="eastAsia" w:ascii="国标黑体" w:hAnsi="国标黑体" w:eastAsia="国标黑体" w:cs="国标黑体"/>
          <w:sz w:val="32"/>
          <w:szCs w:val="32"/>
          <w:lang w:val="en-US" w:eastAsia="zh-CN"/>
        </w:rPr>
        <w:t>六</w:t>
      </w:r>
      <w:r>
        <w:rPr>
          <w:rFonts w:hint="default" w:ascii="国标黑体" w:hAnsi="国标黑体" w:eastAsia="国标黑体" w:cs="国标黑体"/>
          <w:sz w:val="32"/>
          <w:szCs w:val="32"/>
          <w:lang w:val="en-US" w:eastAsia="zh-CN"/>
        </w:rPr>
        <w:t>、注意事项</w:t>
      </w:r>
    </w:p>
    <w:p w14:paraId="734D1E21">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国标仿宋-GB/T 2312" w:hAnsi="国标仿宋-GB/T 2312" w:eastAsia="国标仿宋-GB/T 2312" w:cs="国标仿宋-GB/T 2312"/>
          <w:sz w:val="32"/>
          <w:szCs w:val="32"/>
          <w:lang w:val="en-US" w:eastAsia="zh-CN"/>
        </w:rPr>
      </w:pPr>
      <w:r>
        <w:rPr>
          <w:rFonts w:hint="default" w:ascii="国标仿宋-GB/T 2312" w:hAnsi="国标仿宋-GB/T 2312" w:eastAsia="国标仿宋-GB/T 2312" w:cs="国标仿宋-GB/T 2312"/>
          <w:sz w:val="32"/>
          <w:szCs w:val="32"/>
          <w:lang w:val="en-US" w:eastAsia="zh-CN"/>
        </w:rPr>
        <w:t>我单位不负担此次市场调研所产生的费用，此次调研仅作为下一步政府采购的参考。</w:t>
      </w:r>
    </w:p>
    <w:p w14:paraId="4031C69F">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val="en-US" w:eastAsia="zh-CN"/>
        </w:rPr>
      </w:pPr>
      <w:bookmarkStart w:id="42" w:name="_GoBack"/>
      <w:bookmarkEnd w:id="42"/>
      <w:r>
        <w:rPr>
          <w:rFonts w:hint="eastAsia" w:ascii="国标仿宋-GB/T 2312" w:hAnsi="国标仿宋-GB/T 2312" w:eastAsia="国标仿宋-GB/T 2312" w:cs="国标仿宋-GB/T 2312"/>
          <w:sz w:val="32"/>
          <w:szCs w:val="32"/>
          <w:lang w:val="en-US" w:eastAsia="zh-CN"/>
        </w:rPr>
        <w:t>联系人：赵博浩</w:t>
      </w:r>
    </w:p>
    <w:p w14:paraId="7342D4D8">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国标仿宋-GB/T 2312" w:hAnsi="国标仿宋-GB/T 2312" w:eastAsia="国标仿宋-GB/T 2312" w:cs="国标仿宋-GB/T 2312"/>
          <w:sz w:val="32"/>
          <w:szCs w:val="32"/>
          <w:lang w:val="en-US" w:eastAsia="zh-CN"/>
        </w:rPr>
      </w:pPr>
      <w:r>
        <w:rPr>
          <w:rFonts w:hint="eastAsia" w:ascii="国标仿宋-GB/T 2312" w:hAnsi="国标仿宋-GB/T 2312" w:eastAsia="国标仿宋-GB/T 2312" w:cs="国标仿宋-GB/T 2312"/>
          <w:sz w:val="32"/>
          <w:szCs w:val="32"/>
          <w:lang w:val="en-US" w:eastAsia="zh-CN"/>
        </w:rPr>
        <w:t>联系方式：</w:t>
      </w:r>
      <w:r>
        <w:rPr>
          <w:rFonts w:hint="default" w:ascii="国标仿宋-GB/T 2312" w:hAnsi="国标仿宋-GB/T 2312" w:eastAsia="国标仿宋-GB/T 2312" w:cs="国标仿宋-GB/T 2312"/>
          <w:sz w:val="32"/>
          <w:szCs w:val="32"/>
          <w:lang w:val="en-US" w:eastAsia="zh-CN"/>
        </w:rPr>
        <w:t>0471 369 1008</w:t>
      </w:r>
    </w:p>
    <w:p w14:paraId="744F83C4">
      <w:pPr>
        <w:keepNext w:val="0"/>
        <w:keepLines w:val="0"/>
        <w:pageBreakBefore w:val="0"/>
        <w:widowControl w:val="0"/>
        <w:kinsoku/>
        <w:wordWrap/>
        <w:overflowPunct/>
        <w:topLinePunct w:val="0"/>
        <w:autoSpaceDE/>
        <w:autoSpaceDN/>
        <w:bidi w:val="0"/>
        <w:adjustRightInd/>
        <w:snapToGrid/>
        <w:spacing w:line="560" w:lineRule="exact"/>
        <w:ind w:left="1598" w:leftChars="304" w:hanging="960" w:hangingChars="300"/>
        <w:jc w:val="both"/>
        <w:textAlignment w:val="auto"/>
        <w:rPr>
          <w:rFonts w:hint="default" w:ascii="国标仿宋-GB/T 2312" w:hAnsi="国标仿宋-GB/T 2312" w:eastAsia="国标仿宋-GB/T 2312" w:cs="国标仿宋-GB/T 2312"/>
          <w:i w:val="0"/>
          <w:iCs w:val="0"/>
          <w:caps w:val="0"/>
          <w:color w:val="000000"/>
          <w:spacing w:val="0"/>
          <w:sz w:val="32"/>
          <w:szCs w:val="32"/>
          <w:lang w:val="en-US"/>
        </w:rPr>
      </w:pPr>
      <w:r>
        <w:rPr>
          <w:rFonts w:hint="eastAsia" w:ascii="国标黑体" w:hAnsi="国标黑体" w:eastAsia="国标黑体" w:cs="国标黑体"/>
          <w:sz w:val="32"/>
          <w:szCs w:val="32"/>
          <w:lang w:val="en-US" w:eastAsia="zh-CN"/>
        </w:rPr>
        <w:t>附件：</w:t>
      </w:r>
      <w:r>
        <w:rPr>
          <w:rFonts w:hint="eastAsia" w:ascii="国标仿宋-GB/T 2312" w:hAnsi="国标仿宋-GB/T 2312" w:eastAsia="国标仿宋-GB/T 2312" w:cs="国标仿宋-GB/T 2312"/>
          <w:sz w:val="32"/>
          <w:szCs w:val="32"/>
          <w:lang w:val="en-US" w:eastAsia="zh-CN"/>
        </w:rPr>
        <w:t xml:space="preserve">内蒙古自治区文化馆增设安防监控设备及存储扩容项目建设方案 </w:t>
      </w:r>
    </w:p>
    <w:p w14:paraId="5D491793">
      <w:pPr>
        <w:pStyle w:val="22"/>
        <w:keepNext w:val="0"/>
        <w:keepLines w:val="0"/>
        <w:pageBreakBefore w:val="0"/>
        <w:widowControl/>
        <w:kinsoku/>
        <w:wordWrap w:val="0"/>
        <w:overflowPunct/>
        <w:topLinePunct w:val="0"/>
        <w:autoSpaceDE/>
        <w:autoSpaceDN/>
        <w:bidi w:val="0"/>
        <w:adjustRightInd w:val="0"/>
        <w:snapToGrid/>
        <w:spacing w:line="560" w:lineRule="exact"/>
        <w:ind w:left="0" w:leftChars="0" w:firstLine="5120" w:firstLineChars="16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内蒙古自治区文化馆    </w:t>
      </w:r>
    </w:p>
    <w:p w14:paraId="4BB93D8C">
      <w:pPr>
        <w:pStyle w:val="22"/>
        <w:keepNext w:val="0"/>
        <w:keepLines w:val="0"/>
        <w:pageBreakBefore w:val="0"/>
        <w:widowControl/>
        <w:kinsoku/>
        <w:wordWrap w:val="0"/>
        <w:overflowPunct/>
        <w:topLinePunct w:val="0"/>
        <w:autoSpaceDE/>
        <w:autoSpaceDN/>
        <w:bidi w:val="0"/>
        <w:adjustRightInd w:val="0"/>
        <w:snapToGrid/>
        <w:spacing w:line="560" w:lineRule="exact"/>
        <w:ind w:left="0" w:leftChars="0" w:firstLine="640" w:firstLineChars="200"/>
        <w:jc w:val="both"/>
        <w:textAlignment w:val="auto"/>
        <w:rPr>
          <w:rFonts w:hint="eastAsia" w:ascii="方正小标宋简体" w:hAnsi="方正小标宋简体" w:eastAsia="方正小标宋简体" w:cs="方正小标宋简体"/>
          <w:b w:val="0"/>
          <w:bCs w:val="0"/>
          <w:kern w:val="2"/>
          <w:sz w:val="44"/>
          <w:szCs w:val="44"/>
          <w:lang w:val="en-US" w:eastAsia="zh-CN" w:bidi="ar-SA"/>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 xml:space="preserve">    </w:t>
      </w:r>
    </w:p>
    <w:p w14:paraId="1C140B8B">
      <w:pPr>
        <w:pStyle w:val="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0" w:firstLineChars="0"/>
        <w:jc w:val="center"/>
        <w:textAlignment w:val="auto"/>
        <w:rPr>
          <w:rFonts w:hint="eastAsia" w:ascii="方正小标宋简体" w:hAnsi="方正小标宋简体" w:eastAsia="方正小标宋简体" w:cs="方正小标宋简体"/>
          <w:b w:val="0"/>
          <w:bCs w:val="0"/>
          <w:kern w:val="2"/>
          <w:sz w:val="44"/>
          <w:szCs w:val="44"/>
          <w:lang w:val="en-US" w:eastAsia="zh-CN" w:bidi="ar-SA"/>
        </w:rPr>
      </w:pPr>
      <w:r>
        <w:rPr>
          <w:rFonts w:hint="eastAsia" w:ascii="方正小标宋简体" w:hAnsi="方正小标宋简体" w:eastAsia="方正小标宋简体" w:cs="方正小标宋简体"/>
          <w:b w:val="0"/>
          <w:bCs w:val="0"/>
          <w:kern w:val="2"/>
          <w:sz w:val="44"/>
          <w:szCs w:val="44"/>
          <w:lang w:val="en-US" w:eastAsia="zh-CN" w:bidi="ar-SA"/>
        </w:rPr>
        <w:t>内蒙古自治区文化馆增设安防监控设备及</w:t>
      </w:r>
    </w:p>
    <w:p w14:paraId="0B5398BA">
      <w:pPr>
        <w:pStyle w:val="2"/>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560" w:lineRule="exact"/>
        <w:ind w:firstLine="0" w:firstLineChars="0"/>
        <w:jc w:val="center"/>
        <w:textAlignment w:val="auto"/>
        <w:rPr>
          <w:rFonts w:hint="eastAsia" w:ascii="方正小标宋简体" w:hAnsi="方正小标宋简体" w:eastAsia="方正小标宋简体" w:cs="方正小标宋简体"/>
          <w:b w:val="0"/>
          <w:bCs w:val="0"/>
          <w:kern w:val="2"/>
          <w:sz w:val="44"/>
          <w:szCs w:val="44"/>
          <w:lang w:val="en-US" w:eastAsia="zh-CN" w:bidi="ar-SA"/>
        </w:rPr>
      </w:pPr>
      <w:r>
        <w:rPr>
          <w:rFonts w:hint="eastAsia" w:ascii="方正小标宋简体" w:hAnsi="方正小标宋简体" w:eastAsia="方正小标宋简体" w:cs="方正小标宋简体"/>
          <w:b w:val="0"/>
          <w:bCs w:val="0"/>
          <w:kern w:val="2"/>
          <w:sz w:val="44"/>
          <w:szCs w:val="44"/>
          <w:lang w:val="en-US" w:eastAsia="zh-CN" w:bidi="ar-SA"/>
        </w:rPr>
        <w:t>存储扩容项目建设方案</w:t>
      </w:r>
    </w:p>
    <w:p w14:paraId="338DF9AC">
      <w:pPr>
        <w:keepNext w:val="0"/>
        <w:keepLines w:val="0"/>
        <w:pageBreakBefore w:val="0"/>
        <w:widowControl/>
        <w:suppressLineNumbers w:val="0"/>
        <w:kinsoku/>
        <w:wordWrap/>
        <w:overflowPunct/>
        <w:topLinePunct w:val="0"/>
        <w:autoSpaceDE/>
        <w:autoSpaceDN/>
        <w:bidi w:val="0"/>
        <w:adjustRightInd/>
        <w:snapToGrid/>
        <w:spacing w:line="560" w:lineRule="exact"/>
        <w:jc w:val="both"/>
        <w:textAlignment w:val="auto"/>
        <w:rPr>
          <w:rFonts w:hint="eastAsia" w:ascii="黑体" w:hAnsi="黑体" w:eastAsia="黑体" w:cs="黑体"/>
          <w:b w:val="0"/>
          <w:bCs w:val="0"/>
          <w:kern w:val="2"/>
          <w:sz w:val="32"/>
          <w:szCs w:val="32"/>
          <w:lang w:val="en-US" w:eastAsia="zh-CN" w:bidi="ar-SA"/>
        </w:rPr>
      </w:pPr>
      <w:bookmarkStart w:id="0" w:name="_Toc130732391"/>
      <w:bookmarkStart w:id="1" w:name="_Toc15116"/>
    </w:p>
    <w:p w14:paraId="732CE07C">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一、项目概况</w:t>
      </w:r>
      <w:bookmarkEnd w:id="0"/>
      <w:bookmarkEnd w:id="1"/>
    </w:p>
    <w:p w14:paraId="68318604">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为进一步保障内蒙古自治区文化馆日常安全，目前的监控存储系统已不能满足内蒙古自治区文化馆日益增长的安全和服务保障需求，急需进一步扩大监控系统存储容量和新增部分高清摄像头。</w:t>
      </w:r>
    </w:p>
    <w:p w14:paraId="56B4E14F">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近年国家标准和法律对于视频存储时间的要求不断提升，GB50348-2018安全防范工程技术标准要求各路视频图像信息连续存储周期长度应不少于30天；重点目标的视频图像信息存储周期长度应不少于90天。所以我馆拟在此基础上将存储时间扩容至180天，为打造人民</w:t>
      </w:r>
      <w:r>
        <w:rPr>
          <w:rFonts w:hint="eastAsia" w:cs="仿宋_GB2312"/>
          <w:b w:val="0"/>
          <w:bCs w:val="0"/>
          <w:kern w:val="2"/>
          <w:sz w:val="32"/>
          <w:szCs w:val="32"/>
          <w:lang w:val="en-US" w:eastAsia="zh-CN" w:bidi="ar-SA"/>
        </w:rPr>
        <w:t>群众</w:t>
      </w:r>
      <w:r>
        <w:rPr>
          <w:rFonts w:hint="eastAsia" w:ascii="仿宋_GB2312" w:hAnsi="仿宋_GB2312" w:eastAsia="仿宋_GB2312" w:cs="仿宋_GB2312"/>
          <w:b w:val="0"/>
          <w:bCs w:val="0"/>
          <w:kern w:val="2"/>
          <w:sz w:val="32"/>
          <w:szCs w:val="32"/>
          <w:lang w:val="en-US" w:eastAsia="zh-CN" w:bidi="ar-SA"/>
        </w:rPr>
        <w:t>满意</w:t>
      </w:r>
      <w:r>
        <w:rPr>
          <w:rFonts w:hint="eastAsia" w:cs="仿宋_GB2312"/>
          <w:b w:val="0"/>
          <w:bCs w:val="0"/>
          <w:kern w:val="2"/>
          <w:sz w:val="32"/>
          <w:szCs w:val="32"/>
          <w:lang w:val="en-US" w:eastAsia="zh-CN" w:bidi="ar-SA"/>
        </w:rPr>
        <w:t>的</w:t>
      </w:r>
      <w:r>
        <w:rPr>
          <w:rFonts w:hint="eastAsia" w:ascii="仿宋_GB2312" w:hAnsi="仿宋_GB2312" w:eastAsia="仿宋_GB2312" w:cs="仿宋_GB2312"/>
          <w:b w:val="0"/>
          <w:bCs w:val="0"/>
          <w:kern w:val="2"/>
          <w:sz w:val="32"/>
          <w:szCs w:val="32"/>
          <w:lang w:val="en-US" w:eastAsia="zh-CN" w:bidi="ar-SA"/>
        </w:rPr>
        <w:t>内蒙古自治区文化馆和促进内蒙古自治区文化馆高质量发展提供技术支撑和保障，因此提出本建设方案已适应存储扩容建设的需要。</w:t>
      </w:r>
    </w:p>
    <w:p w14:paraId="71323FA5">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2" w:name="_Toc130732394"/>
      <w:bookmarkStart w:id="3" w:name="_Toc32054"/>
      <w:r>
        <w:rPr>
          <w:rFonts w:hint="eastAsia" w:ascii="黑体" w:hAnsi="黑体" w:eastAsia="黑体" w:cs="黑体"/>
          <w:b w:val="0"/>
          <w:bCs w:val="0"/>
          <w:kern w:val="2"/>
          <w:sz w:val="32"/>
          <w:szCs w:val="32"/>
          <w:lang w:val="en-US" w:eastAsia="zh-CN" w:bidi="ar-SA"/>
        </w:rPr>
        <w:t>二、项目名称</w:t>
      </w:r>
      <w:bookmarkEnd w:id="2"/>
      <w:bookmarkEnd w:id="3"/>
    </w:p>
    <w:p w14:paraId="7E4BC0FF">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内蒙古自治区文化馆</w:t>
      </w:r>
      <w:r>
        <w:rPr>
          <w:rFonts w:hint="eastAsia" w:cs="仿宋_GB2312"/>
          <w:b w:val="0"/>
          <w:bCs w:val="0"/>
          <w:kern w:val="2"/>
          <w:sz w:val="32"/>
          <w:szCs w:val="32"/>
          <w:lang w:val="en-US" w:eastAsia="zh-CN" w:bidi="ar-SA"/>
        </w:rPr>
        <w:t>增设</w:t>
      </w:r>
      <w:r>
        <w:rPr>
          <w:rFonts w:hint="eastAsia" w:ascii="仿宋_GB2312" w:hAnsi="仿宋_GB2312" w:eastAsia="仿宋_GB2312" w:cs="仿宋_GB2312"/>
          <w:b w:val="0"/>
          <w:bCs w:val="0"/>
          <w:kern w:val="2"/>
          <w:sz w:val="32"/>
          <w:szCs w:val="32"/>
          <w:lang w:val="en-US" w:eastAsia="zh-CN" w:bidi="ar-SA"/>
        </w:rPr>
        <w:t>安防监控设备及存储</w:t>
      </w:r>
      <w:r>
        <w:rPr>
          <w:rFonts w:hint="eastAsia" w:cs="仿宋_GB2312"/>
          <w:b w:val="0"/>
          <w:bCs w:val="0"/>
          <w:kern w:val="2"/>
          <w:sz w:val="32"/>
          <w:szCs w:val="32"/>
          <w:lang w:val="en-US" w:eastAsia="zh-CN" w:bidi="ar-SA"/>
        </w:rPr>
        <w:t>扩容</w:t>
      </w:r>
      <w:r>
        <w:rPr>
          <w:rFonts w:hint="eastAsia" w:ascii="仿宋_GB2312" w:hAnsi="仿宋_GB2312" w:eastAsia="仿宋_GB2312" w:cs="仿宋_GB2312"/>
          <w:b w:val="0"/>
          <w:bCs w:val="0"/>
          <w:kern w:val="2"/>
          <w:sz w:val="32"/>
          <w:szCs w:val="32"/>
          <w:lang w:val="en-US" w:eastAsia="zh-CN" w:bidi="ar-SA"/>
        </w:rPr>
        <w:t>项目</w:t>
      </w:r>
    </w:p>
    <w:p w14:paraId="2F55DD86">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4" w:name="_Toc25339"/>
      <w:bookmarkStart w:id="5" w:name="_Toc130732393"/>
      <w:r>
        <w:rPr>
          <w:rFonts w:hint="eastAsia" w:ascii="黑体" w:hAnsi="黑体" w:eastAsia="黑体" w:cs="黑体"/>
          <w:b w:val="0"/>
          <w:bCs w:val="0"/>
          <w:kern w:val="2"/>
          <w:sz w:val="32"/>
          <w:szCs w:val="32"/>
          <w:lang w:val="en-US" w:eastAsia="zh-CN" w:bidi="ar-SA"/>
        </w:rPr>
        <w:t>三、项目目标任务</w:t>
      </w:r>
      <w:bookmarkEnd w:id="4"/>
      <w:bookmarkEnd w:id="5"/>
    </w:p>
    <w:p w14:paraId="4B92B652">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摄像机增补部分：根据现有监控摄像机覆盖范围确定，对监控盲区、无监控区域、监控模糊及效果差的区域进行增补摄像机。</w:t>
      </w:r>
    </w:p>
    <w:p w14:paraId="0E4AD962">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监控存储部分：此次增补建设摄像头点位实现内蒙古自治区文化馆监控视频存储时间升级至6个月（从目前的30多天增加至180天）。</w:t>
      </w:r>
    </w:p>
    <w:p w14:paraId="3FD1C366">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6" w:name="_Toc5279"/>
      <w:r>
        <w:rPr>
          <w:rFonts w:hint="eastAsia" w:ascii="黑体" w:hAnsi="黑体" w:eastAsia="黑体" w:cs="黑体"/>
          <w:b w:val="0"/>
          <w:bCs w:val="0"/>
          <w:kern w:val="2"/>
          <w:sz w:val="32"/>
          <w:szCs w:val="32"/>
          <w:lang w:val="en-US" w:eastAsia="zh-CN" w:bidi="ar-SA"/>
        </w:rPr>
        <w:t>四、项目建设范围</w:t>
      </w:r>
      <w:bookmarkEnd w:id="6"/>
    </w:p>
    <w:p w14:paraId="2B62B83C">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范围包括：</w:t>
      </w:r>
    </w:p>
    <w:p w14:paraId="28D8EDD0">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color w:val="auto"/>
          <w:kern w:val="2"/>
          <w:sz w:val="32"/>
          <w:szCs w:val="32"/>
          <w:lang w:val="en-US" w:eastAsia="zh-CN" w:bidi="ar-SA"/>
        </w:rPr>
      </w:pPr>
      <w:r>
        <w:rPr>
          <w:rFonts w:hint="eastAsia" w:cs="仿宋_GB2312"/>
          <w:b w:val="0"/>
          <w:bCs w:val="0"/>
          <w:kern w:val="2"/>
          <w:sz w:val="32"/>
          <w:szCs w:val="32"/>
          <w:lang w:val="en-US" w:eastAsia="zh-CN" w:bidi="ar-SA"/>
        </w:rPr>
        <w:t>1.</w:t>
      </w:r>
      <w:r>
        <w:rPr>
          <w:rFonts w:hint="eastAsia" w:ascii="仿宋_GB2312" w:hAnsi="仿宋_GB2312" w:eastAsia="仿宋_GB2312" w:cs="仿宋_GB2312"/>
          <w:b w:val="0"/>
          <w:bCs w:val="0"/>
          <w:kern w:val="2"/>
          <w:sz w:val="32"/>
          <w:szCs w:val="32"/>
          <w:lang w:val="en-US" w:eastAsia="zh-CN" w:bidi="ar-SA"/>
        </w:rPr>
        <w:t>负一层：监控室、配电</w:t>
      </w:r>
      <w:r>
        <w:rPr>
          <w:rFonts w:hint="eastAsia" w:cs="仿宋_GB2312"/>
          <w:b w:val="0"/>
          <w:bCs w:val="0"/>
          <w:kern w:val="2"/>
          <w:sz w:val="32"/>
          <w:szCs w:val="32"/>
          <w:lang w:val="en-US" w:eastAsia="zh-CN" w:bidi="ar-SA"/>
        </w:rPr>
        <w:t>室</w:t>
      </w:r>
      <w:r>
        <w:rPr>
          <w:rFonts w:hint="eastAsia" w:ascii="仿宋_GB2312" w:hAnsi="仿宋_GB2312" w:eastAsia="仿宋_GB2312" w:cs="仿宋_GB2312"/>
          <w:b w:val="0"/>
          <w:bCs w:val="0"/>
          <w:kern w:val="2"/>
          <w:sz w:val="32"/>
          <w:szCs w:val="32"/>
          <w:lang w:val="en-US" w:eastAsia="zh-CN" w:bidi="ar-SA"/>
        </w:rPr>
        <w:t>、食堂</w:t>
      </w:r>
      <w:r>
        <w:rPr>
          <w:rFonts w:hint="eastAsia" w:cs="仿宋_GB2312"/>
          <w:b w:val="0"/>
          <w:bCs w:val="0"/>
          <w:kern w:val="2"/>
          <w:sz w:val="32"/>
          <w:szCs w:val="32"/>
          <w:lang w:val="en-US" w:eastAsia="zh-CN" w:bidi="ar-SA"/>
        </w:rPr>
        <w:t>、</w:t>
      </w:r>
      <w:r>
        <w:rPr>
          <w:rFonts w:hint="eastAsia" w:cs="仿宋_GB2312"/>
          <w:b w:val="0"/>
          <w:bCs w:val="0"/>
          <w:color w:val="auto"/>
          <w:kern w:val="2"/>
          <w:sz w:val="32"/>
          <w:szCs w:val="32"/>
          <w:lang w:val="en-US" w:eastAsia="zh-CN" w:bidi="ar-SA"/>
        </w:rPr>
        <w:t>库房</w:t>
      </w:r>
    </w:p>
    <w:p w14:paraId="5D61E5FD">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cs="仿宋_GB2312"/>
          <w:b w:val="0"/>
          <w:bCs w:val="0"/>
          <w:kern w:val="2"/>
          <w:sz w:val="32"/>
          <w:szCs w:val="32"/>
          <w:lang w:val="en-US" w:eastAsia="zh-CN" w:bidi="ar-SA"/>
        </w:rPr>
        <w:t>2.</w:t>
      </w:r>
      <w:r>
        <w:rPr>
          <w:rFonts w:hint="eastAsia" w:ascii="仿宋_GB2312" w:hAnsi="仿宋_GB2312" w:eastAsia="仿宋_GB2312" w:cs="仿宋_GB2312"/>
          <w:b w:val="0"/>
          <w:bCs w:val="0"/>
          <w:kern w:val="2"/>
          <w:sz w:val="32"/>
          <w:szCs w:val="32"/>
          <w:lang w:val="en-US" w:eastAsia="zh-CN" w:bidi="ar-SA"/>
        </w:rPr>
        <w:t>一层：消控室、剧场（舞台、步梯间等）</w:t>
      </w:r>
    </w:p>
    <w:p w14:paraId="1C82047F">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cs="仿宋_GB2312"/>
          <w:b w:val="0"/>
          <w:bCs w:val="0"/>
          <w:kern w:val="2"/>
          <w:sz w:val="32"/>
          <w:szCs w:val="32"/>
          <w:lang w:val="en-US" w:eastAsia="zh-CN" w:bidi="ar-SA"/>
        </w:rPr>
        <w:t>3.</w:t>
      </w:r>
      <w:r>
        <w:rPr>
          <w:rFonts w:hint="eastAsia" w:ascii="仿宋_GB2312" w:hAnsi="仿宋_GB2312" w:eastAsia="仿宋_GB2312" w:cs="仿宋_GB2312"/>
          <w:b w:val="0"/>
          <w:bCs w:val="0"/>
          <w:kern w:val="2"/>
          <w:sz w:val="32"/>
          <w:szCs w:val="32"/>
          <w:lang w:val="en-US" w:eastAsia="zh-CN" w:bidi="ar-SA"/>
        </w:rPr>
        <w:t>二层：剧场（耳光室设备间等）</w:t>
      </w:r>
    </w:p>
    <w:p w14:paraId="3A4E4D98">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cs="仿宋_GB2312"/>
          <w:b w:val="0"/>
          <w:bCs w:val="0"/>
          <w:kern w:val="2"/>
          <w:sz w:val="32"/>
          <w:szCs w:val="32"/>
          <w:lang w:val="en-US" w:eastAsia="zh-CN" w:bidi="ar-SA"/>
        </w:rPr>
        <w:t>4.</w:t>
      </w:r>
      <w:r>
        <w:rPr>
          <w:rFonts w:hint="eastAsia" w:ascii="仿宋_GB2312" w:hAnsi="仿宋_GB2312" w:eastAsia="仿宋_GB2312" w:cs="仿宋_GB2312"/>
          <w:b w:val="0"/>
          <w:bCs w:val="0"/>
          <w:kern w:val="2"/>
          <w:sz w:val="32"/>
          <w:szCs w:val="32"/>
          <w:lang w:val="en-US" w:eastAsia="zh-CN" w:bidi="ar-SA"/>
        </w:rPr>
        <w:t>三层：剧场（步梯间、耳光室设备间等）</w:t>
      </w:r>
    </w:p>
    <w:p w14:paraId="76342999">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cs="仿宋_GB2312"/>
          <w:b w:val="0"/>
          <w:bCs w:val="0"/>
          <w:kern w:val="2"/>
          <w:sz w:val="32"/>
          <w:szCs w:val="32"/>
          <w:lang w:val="en-US" w:eastAsia="zh-CN" w:bidi="ar-SA"/>
        </w:rPr>
        <w:t>5.</w:t>
      </w:r>
      <w:r>
        <w:rPr>
          <w:rFonts w:hint="eastAsia" w:ascii="仿宋_GB2312" w:hAnsi="仿宋_GB2312" w:eastAsia="仿宋_GB2312" w:cs="仿宋_GB2312"/>
          <w:b w:val="0"/>
          <w:bCs w:val="0"/>
          <w:kern w:val="2"/>
          <w:sz w:val="32"/>
          <w:szCs w:val="32"/>
          <w:lang w:val="en-US" w:eastAsia="zh-CN" w:bidi="ar-SA"/>
        </w:rPr>
        <w:t>四层：剧场（面光灯灯道、4楼灯光室等）</w:t>
      </w:r>
    </w:p>
    <w:p w14:paraId="477E36CC">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cs="仿宋_GB2312"/>
          <w:b w:val="0"/>
          <w:bCs w:val="0"/>
          <w:kern w:val="2"/>
          <w:sz w:val="32"/>
          <w:szCs w:val="32"/>
          <w:lang w:val="en-US" w:eastAsia="zh-CN" w:bidi="ar-SA"/>
        </w:rPr>
        <w:t>6.</w:t>
      </w:r>
      <w:r>
        <w:rPr>
          <w:rFonts w:hint="eastAsia" w:ascii="仿宋_GB2312" w:hAnsi="仿宋_GB2312" w:eastAsia="仿宋_GB2312" w:cs="仿宋_GB2312"/>
          <w:b w:val="0"/>
          <w:bCs w:val="0"/>
          <w:kern w:val="2"/>
          <w:sz w:val="32"/>
          <w:szCs w:val="32"/>
          <w:lang w:val="en-US" w:eastAsia="zh-CN" w:bidi="ar-SA"/>
        </w:rPr>
        <w:t>五层：剧场（ 机械电气室、可控硅室）</w:t>
      </w:r>
    </w:p>
    <w:p w14:paraId="689636A5">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cs="仿宋_GB2312"/>
          <w:b w:val="0"/>
          <w:bCs w:val="0"/>
          <w:kern w:val="2"/>
          <w:sz w:val="32"/>
          <w:szCs w:val="32"/>
          <w:lang w:val="en-US" w:eastAsia="zh-CN" w:bidi="ar-SA"/>
        </w:rPr>
        <w:t>7.</w:t>
      </w:r>
      <w:r>
        <w:rPr>
          <w:rFonts w:hint="eastAsia" w:ascii="仿宋_GB2312" w:hAnsi="仿宋_GB2312" w:eastAsia="仿宋_GB2312" w:cs="仿宋_GB2312"/>
          <w:b w:val="0"/>
          <w:bCs w:val="0"/>
          <w:kern w:val="2"/>
          <w:sz w:val="32"/>
          <w:szCs w:val="32"/>
          <w:lang w:val="en-US" w:eastAsia="zh-CN" w:bidi="ar-SA"/>
        </w:rPr>
        <w:t>顶层：水箱间、平台出入口</w:t>
      </w:r>
    </w:p>
    <w:p w14:paraId="2AF013BE">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cs="仿宋_GB2312"/>
          <w:b w:val="0"/>
          <w:bCs w:val="0"/>
          <w:kern w:val="2"/>
          <w:sz w:val="32"/>
          <w:szCs w:val="32"/>
          <w:lang w:val="en-US" w:eastAsia="zh-CN" w:bidi="ar-SA"/>
        </w:rPr>
        <w:t>8.</w:t>
      </w:r>
      <w:r>
        <w:rPr>
          <w:rFonts w:hint="eastAsia" w:ascii="仿宋_GB2312" w:hAnsi="仿宋_GB2312" w:eastAsia="仿宋_GB2312" w:cs="仿宋_GB2312"/>
          <w:b w:val="0"/>
          <w:bCs w:val="0"/>
          <w:kern w:val="2"/>
          <w:sz w:val="32"/>
          <w:szCs w:val="32"/>
          <w:lang w:val="en-US" w:eastAsia="zh-CN" w:bidi="ar-SA"/>
        </w:rPr>
        <w:t>室外：停车场及外围广场、主要路段、主要出入口。</w:t>
      </w:r>
    </w:p>
    <w:tbl>
      <w:tblPr>
        <w:tblStyle w:val="15"/>
        <w:tblW w:w="8637"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89"/>
        <w:gridCol w:w="1108"/>
        <w:gridCol w:w="941"/>
        <w:gridCol w:w="870"/>
        <w:gridCol w:w="1826"/>
        <w:gridCol w:w="739"/>
        <w:gridCol w:w="884"/>
        <w:gridCol w:w="740"/>
        <w:gridCol w:w="740"/>
      </w:tblGrid>
      <w:tr w14:paraId="52B019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637" w:type="dxa"/>
            <w:gridSpan w:val="9"/>
            <w:tcBorders>
              <w:top w:val="single" w:color="000000" w:sz="4" w:space="0"/>
              <w:left w:val="single" w:color="000000" w:sz="4" w:space="0"/>
              <w:bottom w:val="single" w:color="000000" w:sz="4" w:space="0"/>
              <w:right w:val="single" w:color="000000" w:sz="4" w:space="0"/>
            </w:tcBorders>
            <w:noWrap w:val="0"/>
            <w:vAlign w:val="top"/>
          </w:tcPr>
          <w:p w14:paraId="6F8C06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监控点位统计表</w:t>
            </w:r>
          </w:p>
        </w:tc>
      </w:tr>
      <w:tr w14:paraId="72AF43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0238CD0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楼层位置</w:t>
            </w:r>
          </w:p>
        </w:tc>
        <w:tc>
          <w:tcPr>
            <w:tcW w:w="1108" w:type="dxa"/>
            <w:tcBorders>
              <w:top w:val="single" w:color="000000" w:sz="4" w:space="0"/>
              <w:left w:val="single" w:color="000000" w:sz="4" w:space="0"/>
              <w:bottom w:val="single" w:color="000000" w:sz="4" w:space="0"/>
              <w:right w:val="single" w:color="000000" w:sz="4" w:space="0"/>
            </w:tcBorders>
            <w:noWrap w:val="0"/>
            <w:vAlign w:val="top"/>
          </w:tcPr>
          <w:p w14:paraId="65BBC7BA">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名称</w:t>
            </w:r>
          </w:p>
        </w:tc>
        <w:tc>
          <w:tcPr>
            <w:tcW w:w="941" w:type="dxa"/>
            <w:tcBorders>
              <w:top w:val="single" w:color="000000" w:sz="4" w:space="0"/>
              <w:left w:val="single" w:color="000000" w:sz="4" w:space="0"/>
              <w:bottom w:val="single" w:color="000000" w:sz="4" w:space="0"/>
              <w:right w:val="single" w:color="000000" w:sz="4" w:space="0"/>
            </w:tcBorders>
            <w:noWrap w:val="0"/>
            <w:vAlign w:val="top"/>
          </w:tcPr>
          <w:p w14:paraId="40D61A8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规格</w:t>
            </w:r>
          </w:p>
        </w:tc>
        <w:tc>
          <w:tcPr>
            <w:tcW w:w="870" w:type="dxa"/>
            <w:tcBorders>
              <w:top w:val="single" w:color="000000" w:sz="4" w:space="0"/>
              <w:left w:val="single" w:color="000000" w:sz="4" w:space="0"/>
              <w:bottom w:val="single" w:color="000000" w:sz="4" w:space="0"/>
              <w:right w:val="single" w:color="000000" w:sz="4" w:space="0"/>
            </w:tcBorders>
            <w:noWrap w:val="0"/>
            <w:vAlign w:val="top"/>
          </w:tcPr>
          <w:p w14:paraId="2F1DCDD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1826" w:type="dxa"/>
            <w:tcBorders>
              <w:top w:val="single" w:color="000000" w:sz="4" w:space="0"/>
              <w:left w:val="single" w:color="000000" w:sz="4" w:space="0"/>
              <w:bottom w:val="single" w:color="000000" w:sz="4" w:space="0"/>
              <w:right w:val="single" w:color="000000" w:sz="4" w:space="0"/>
            </w:tcBorders>
            <w:noWrap w:val="0"/>
            <w:vAlign w:val="top"/>
          </w:tcPr>
          <w:p w14:paraId="31733432">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拟定位置</w:t>
            </w:r>
          </w:p>
        </w:tc>
        <w:tc>
          <w:tcPr>
            <w:tcW w:w="739" w:type="dxa"/>
            <w:tcBorders>
              <w:top w:val="single" w:color="000000" w:sz="4" w:space="0"/>
              <w:left w:val="single" w:color="000000" w:sz="4" w:space="0"/>
              <w:bottom w:val="single" w:color="000000" w:sz="4" w:space="0"/>
              <w:right w:val="single" w:color="000000" w:sz="4" w:space="0"/>
            </w:tcBorders>
            <w:noWrap w:val="0"/>
            <w:vAlign w:val="top"/>
          </w:tcPr>
          <w:p w14:paraId="0E9C1F8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半球</w:t>
            </w:r>
          </w:p>
        </w:tc>
        <w:tc>
          <w:tcPr>
            <w:tcW w:w="884" w:type="dxa"/>
            <w:tcBorders>
              <w:top w:val="single" w:color="000000" w:sz="4" w:space="0"/>
              <w:left w:val="single" w:color="000000" w:sz="4" w:space="0"/>
              <w:bottom w:val="single" w:color="000000" w:sz="4" w:space="0"/>
              <w:right w:val="single" w:color="000000" w:sz="4" w:space="0"/>
            </w:tcBorders>
            <w:noWrap w:val="0"/>
            <w:vAlign w:val="top"/>
          </w:tcPr>
          <w:p w14:paraId="05036DE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3FE7D4B6">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云台</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1EA895C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双镜头云台</w:t>
            </w:r>
          </w:p>
        </w:tc>
      </w:tr>
      <w:tr w14:paraId="2263E3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677429C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室外</w:t>
            </w:r>
          </w:p>
        </w:tc>
        <w:tc>
          <w:tcPr>
            <w:tcW w:w="1108" w:type="dxa"/>
            <w:tcBorders>
              <w:top w:val="single" w:color="000000" w:sz="4" w:space="0"/>
              <w:left w:val="single" w:color="000000" w:sz="4" w:space="0"/>
              <w:bottom w:val="single" w:color="000000" w:sz="4" w:space="0"/>
              <w:right w:val="single" w:color="000000" w:sz="4" w:space="0"/>
            </w:tcBorders>
            <w:noWrap w:val="0"/>
            <w:vAlign w:val="top"/>
          </w:tcPr>
          <w:p w14:paraId="297DB056">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室外立杆</w:t>
            </w:r>
          </w:p>
        </w:tc>
        <w:tc>
          <w:tcPr>
            <w:tcW w:w="941" w:type="dxa"/>
            <w:tcBorders>
              <w:top w:val="single" w:color="000000" w:sz="4" w:space="0"/>
              <w:left w:val="single" w:color="000000" w:sz="4" w:space="0"/>
              <w:bottom w:val="single" w:color="000000" w:sz="4" w:space="0"/>
              <w:right w:val="single" w:color="000000" w:sz="4" w:space="0"/>
            </w:tcBorders>
            <w:noWrap w:val="0"/>
            <w:vAlign w:val="top"/>
          </w:tcPr>
          <w:p w14:paraId="7C2764B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0"/>
            <w:vAlign w:val="top"/>
          </w:tcPr>
          <w:p w14:paraId="24630AD1">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w:t>
            </w:r>
          </w:p>
        </w:tc>
        <w:tc>
          <w:tcPr>
            <w:tcW w:w="1826" w:type="dxa"/>
            <w:tcBorders>
              <w:top w:val="single" w:color="000000" w:sz="4" w:space="0"/>
              <w:left w:val="single" w:color="000000" w:sz="4" w:space="0"/>
              <w:bottom w:val="single" w:color="000000" w:sz="4" w:space="0"/>
              <w:right w:val="single" w:color="000000" w:sz="4" w:space="0"/>
            </w:tcBorders>
            <w:noWrap w:val="0"/>
            <w:vAlign w:val="top"/>
          </w:tcPr>
          <w:p w14:paraId="7E0E9154">
            <w:pPr>
              <w:jc w:val="both"/>
              <w:rPr>
                <w:rFonts w:hint="eastAsia" w:ascii="宋体" w:hAnsi="宋体" w:eastAsia="宋体" w:cs="宋体"/>
                <w:i w:val="0"/>
                <w:iCs w:val="0"/>
                <w:color w:val="000000"/>
                <w:sz w:val="18"/>
                <w:szCs w:val="18"/>
                <w:u w:val="none"/>
              </w:rPr>
            </w:pPr>
          </w:p>
        </w:tc>
        <w:tc>
          <w:tcPr>
            <w:tcW w:w="739" w:type="dxa"/>
            <w:tcBorders>
              <w:top w:val="single" w:color="000000" w:sz="4" w:space="0"/>
              <w:left w:val="single" w:color="000000" w:sz="4" w:space="0"/>
              <w:bottom w:val="single" w:color="000000" w:sz="4" w:space="0"/>
              <w:right w:val="single" w:color="000000" w:sz="4" w:space="0"/>
            </w:tcBorders>
            <w:noWrap w:val="0"/>
            <w:vAlign w:val="top"/>
          </w:tcPr>
          <w:p w14:paraId="719FB774">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0"/>
            <w:vAlign w:val="top"/>
          </w:tcPr>
          <w:p w14:paraId="14A6BD0F">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69807112">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2B2CDCD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r>
      <w:tr w14:paraId="0B8BE4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064A82E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一层</w:t>
            </w:r>
          </w:p>
        </w:tc>
        <w:tc>
          <w:tcPr>
            <w:tcW w:w="1108" w:type="dxa"/>
            <w:tcBorders>
              <w:top w:val="single" w:color="000000" w:sz="4" w:space="0"/>
              <w:left w:val="single" w:color="000000" w:sz="4" w:space="0"/>
              <w:bottom w:val="single" w:color="000000" w:sz="4" w:space="0"/>
              <w:right w:val="single" w:color="000000" w:sz="4" w:space="0"/>
            </w:tcBorders>
            <w:noWrap w:val="0"/>
            <w:vAlign w:val="top"/>
          </w:tcPr>
          <w:p w14:paraId="3CA9E97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消控室</w:t>
            </w:r>
          </w:p>
        </w:tc>
        <w:tc>
          <w:tcPr>
            <w:tcW w:w="941" w:type="dxa"/>
            <w:tcBorders>
              <w:top w:val="single" w:color="000000" w:sz="4" w:space="0"/>
              <w:left w:val="single" w:color="000000" w:sz="4" w:space="0"/>
              <w:bottom w:val="single" w:color="000000" w:sz="4" w:space="0"/>
              <w:right w:val="single" w:color="000000" w:sz="4" w:space="0"/>
            </w:tcBorders>
            <w:noWrap w:val="0"/>
            <w:vAlign w:val="top"/>
          </w:tcPr>
          <w:p w14:paraId="2360225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0"/>
            <w:vAlign w:val="top"/>
          </w:tcPr>
          <w:p w14:paraId="1AED48FF">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0"/>
            <w:vAlign w:val="top"/>
          </w:tcPr>
          <w:p w14:paraId="26060EA9">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消控室</w:t>
            </w:r>
          </w:p>
        </w:tc>
        <w:tc>
          <w:tcPr>
            <w:tcW w:w="739" w:type="dxa"/>
            <w:tcBorders>
              <w:top w:val="single" w:color="000000" w:sz="4" w:space="0"/>
              <w:left w:val="single" w:color="000000" w:sz="4" w:space="0"/>
              <w:bottom w:val="single" w:color="000000" w:sz="4" w:space="0"/>
              <w:right w:val="single" w:color="000000" w:sz="4" w:space="0"/>
            </w:tcBorders>
            <w:noWrap w:val="0"/>
            <w:vAlign w:val="top"/>
          </w:tcPr>
          <w:p w14:paraId="349FA04C">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0"/>
            <w:vAlign w:val="top"/>
          </w:tcPr>
          <w:p w14:paraId="4D8A7FDE">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3E3D0A8B">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2D430F3D">
            <w:pPr>
              <w:jc w:val="both"/>
              <w:rPr>
                <w:rFonts w:hint="eastAsia" w:ascii="宋体" w:hAnsi="宋体" w:eastAsia="宋体" w:cs="宋体"/>
                <w:i w:val="0"/>
                <w:iCs w:val="0"/>
                <w:color w:val="000000"/>
                <w:sz w:val="18"/>
                <w:szCs w:val="18"/>
                <w:u w:val="none"/>
              </w:rPr>
            </w:pPr>
          </w:p>
        </w:tc>
      </w:tr>
      <w:tr w14:paraId="64BB84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restart"/>
            <w:tcBorders>
              <w:top w:val="single" w:color="000000" w:sz="4" w:space="0"/>
              <w:left w:val="single" w:color="000000" w:sz="4" w:space="0"/>
              <w:bottom w:val="single" w:color="000000" w:sz="4" w:space="0"/>
              <w:right w:val="single" w:color="000000" w:sz="4" w:space="0"/>
            </w:tcBorders>
            <w:noWrap w:val="0"/>
            <w:vAlign w:val="top"/>
          </w:tcPr>
          <w:p w14:paraId="4A5832A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一层</w:t>
            </w:r>
          </w:p>
        </w:tc>
        <w:tc>
          <w:tcPr>
            <w:tcW w:w="1108" w:type="dxa"/>
            <w:tcBorders>
              <w:top w:val="single" w:color="000000" w:sz="4" w:space="0"/>
              <w:left w:val="single" w:color="000000" w:sz="4" w:space="0"/>
              <w:bottom w:val="single" w:color="000000" w:sz="4" w:space="0"/>
              <w:right w:val="single" w:color="000000" w:sz="4" w:space="0"/>
            </w:tcBorders>
            <w:noWrap w:val="0"/>
            <w:vAlign w:val="top"/>
          </w:tcPr>
          <w:p w14:paraId="3417B19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步梯间</w:t>
            </w:r>
          </w:p>
        </w:tc>
        <w:tc>
          <w:tcPr>
            <w:tcW w:w="941" w:type="dxa"/>
            <w:tcBorders>
              <w:top w:val="single" w:color="000000" w:sz="4" w:space="0"/>
              <w:left w:val="single" w:color="000000" w:sz="4" w:space="0"/>
              <w:bottom w:val="single" w:color="000000" w:sz="4" w:space="0"/>
              <w:right w:val="single" w:color="000000" w:sz="4" w:space="0"/>
            </w:tcBorders>
            <w:noWrap w:val="0"/>
            <w:vAlign w:val="top"/>
          </w:tcPr>
          <w:p w14:paraId="660B804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枪型</w:t>
            </w:r>
          </w:p>
        </w:tc>
        <w:tc>
          <w:tcPr>
            <w:tcW w:w="870" w:type="dxa"/>
            <w:tcBorders>
              <w:top w:val="single" w:color="000000" w:sz="4" w:space="0"/>
              <w:left w:val="single" w:color="000000" w:sz="4" w:space="0"/>
              <w:bottom w:val="single" w:color="000000" w:sz="4" w:space="0"/>
              <w:right w:val="single" w:color="000000" w:sz="4" w:space="0"/>
            </w:tcBorders>
            <w:noWrap w:val="0"/>
            <w:vAlign w:val="top"/>
          </w:tcPr>
          <w:p w14:paraId="6466B87E">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826" w:type="dxa"/>
            <w:tcBorders>
              <w:top w:val="single" w:color="000000" w:sz="4" w:space="0"/>
              <w:left w:val="single" w:color="000000" w:sz="4" w:space="0"/>
              <w:bottom w:val="single" w:color="000000" w:sz="4" w:space="0"/>
              <w:right w:val="single" w:color="000000" w:sz="4" w:space="0"/>
            </w:tcBorders>
            <w:noWrap w:val="0"/>
            <w:vAlign w:val="top"/>
          </w:tcPr>
          <w:p w14:paraId="188C1C03">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一层步梯间</w:t>
            </w:r>
          </w:p>
        </w:tc>
        <w:tc>
          <w:tcPr>
            <w:tcW w:w="739" w:type="dxa"/>
            <w:tcBorders>
              <w:top w:val="single" w:color="000000" w:sz="4" w:space="0"/>
              <w:left w:val="single" w:color="000000" w:sz="4" w:space="0"/>
              <w:bottom w:val="single" w:color="000000" w:sz="4" w:space="0"/>
              <w:right w:val="single" w:color="000000" w:sz="4" w:space="0"/>
            </w:tcBorders>
            <w:noWrap w:val="0"/>
            <w:vAlign w:val="top"/>
          </w:tcPr>
          <w:p w14:paraId="39267ABA">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884" w:type="dxa"/>
            <w:tcBorders>
              <w:top w:val="single" w:color="000000" w:sz="4" w:space="0"/>
              <w:left w:val="single" w:color="000000" w:sz="4" w:space="0"/>
              <w:bottom w:val="single" w:color="000000" w:sz="4" w:space="0"/>
              <w:right w:val="single" w:color="000000" w:sz="4" w:space="0"/>
            </w:tcBorders>
            <w:noWrap w:val="0"/>
            <w:vAlign w:val="top"/>
          </w:tcPr>
          <w:p w14:paraId="00B328A3">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77E9A05C">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0599A899">
            <w:pPr>
              <w:jc w:val="both"/>
              <w:rPr>
                <w:rFonts w:hint="eastAsia" w:ascii="宋体" w:hAnsi="宋体" w:eastAsia="宋体" w:cs="宋体"/>
                <w:i w:val="0"/>
                <w:iCs w:val="0"/>
                <w:color w:val="000000"/>
                <w:sz w:val="18"/>
                <w:szCs w:val="18"/>
                <w:u w:val="none"/>
              </w:rPr>
            </w:pPr>
          </w:p>
        </w:tc>
      </w:tr>
      <w:tr w14:paraId="17CCDA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1ECFB85C">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05ECB8F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剧场舞台东侧</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1B069C7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6CC49FB0">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554BBA7C">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四个角对射</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2609CEB4">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4EF841A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1D300A90">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3636FDCB">
            <w:pPr>
              <w:jc w:val="both"/>
              <w:rPr>
                <w:rFonts w:hint="eastAsia" w:ascii="宋体" w:hAnsi="宋体" w:eastAsia="宋体" w:cs="宋体"/>
                <w:i w:val="0"/>
                <w:iCs w:val="0"/>
                <w:color w:val="000000"/>
                <w:sz w:val="18"/>
                <w:szCs w:val="18"/>
                <w:u w:val="none"/>
              </w:rPr>
            </w:pPr>
          </w:p>
        </w:tc>
      </w:tr>
      <w:tr w14:paraId="4706BF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50ED48B8">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5DA4525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剧场舞台东侧</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7C22899E">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664E278C">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3849EE33">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短焦照配电</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5CE72EE1">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253663A1">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76421B25">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72C6A98C">
            <w:pPr>
              <w:jc w:val="both"/>
              <w:rPr>
                <w:rFonts w:hint="eastAsia" w:ascii="宋体" w:hAnsi="宋体" w:eastAsia="宋体" w:cs="宋体"/>
                <w:i w:val="0"/>
                <w:iCs w:val="0"/>
                <w:color w:val="000000"/>
                <w:sz w:val="18"/>
                <w:szCs w:val="18"/>
                <w:u w:val="none"/>
              </w:rPr>
            </w:pPr>
          </w:p>
        </w:tc>
      </w:tr>
      <w:tr w14:paraId="4C6B3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29DF20C7">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2A594776">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剧场舞台东侧</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22D276D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09C9D92B">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7757A653">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照舞台</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569E8A6C">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2DD9EC51">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424D5EC4">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1232927A">
            <w:pPr>
              <w:jc w:val="both"/>
              <w:rPr>
                <w:rFonts w:hint="eastAsia" w:ascii="宋体" w:hAnsi="宋体" w:eastAsia="宋体" w:cs="宋体"/>
                <w:i w:val="0"/>
                <w:iCs w:val="0"/>
                <w:color w:val="000000"/>
                <w:sz w:val="18"/>
                <w:szCs w:val="18"/>
                <w:u w:val="none"/>
              </w:rPr>
            </w:pPr>
          </w:p>
        </w:tc>
      </w:tr>
      <w:tr w14:paraId="7C9556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0D99CC17">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13D9B43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剧场舞台东侧</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289C54F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437BB08E">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5E9667C2">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小屋子</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0F64CA8F">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57B366C6">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56D3ED92">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66C5B482">
            <w:pPr>
              <w:jc w:val="both"/>
              <w:rPr>
                <w:rFonts w:hint="eastAsia" w:ascii="宋体" w:hAnsi="宋体" w:eastAsia="宋体" w:cs="宋体"/>
                <w:i w:val="0"/>
                <w:iCs w:val="0"/>
                <w:color w:val="000000"/>
                <w:sz w:val="18"/>
                <w:szCs w:val="18"/>
                <w:u w:val="none"/>
              </w:rPr>
            </w:pPr>
          </w:p>
        </w:tc>
      </w:tr>
      <w:tr w14:paraId="7FC27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4F9F30E3">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0336759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剧场舞台西侧</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2D11309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673D51DE">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4D63336E">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四个角对射</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1C1A4FC6">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0D92D0F6">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73B137CC">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04B3A91A">
            <w:pPr>
              <w:jc w:val="both"/>
              <w:rPr>
                <w:rFonts w:hint="eastAsia" w:ascii="宋体" w:hAnsi="宋体" w:eastAsia="宋体" w:cs="宋体"/>
                <w:i w:val="0"/>
                <w:iCs w:val="0"/>
                <w:color w:val="000000"/>
                <w:sz w:val="18"/>
                <w:szCs w:val="18"/>
                <w:u w:val="none"/>
              </w:rPr>
            </w:pPr>
          </w:p>
        </w:tc>
      </w:tr>
      <w:tr w14:paraId="10FA77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7929A0EE">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179686E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剧场舞台西侧</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7774B20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58338C71">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2D86526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短焦照配电、大屏后</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2AE32A43">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68A2ECCD">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56860FFF">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2FCEFD5C">
            <w:pPr>
              <w:jc w:val="both"/>
              <w:rPr>
                <w:rFonts w:hint="eastAsia" w:ascii="宋体" w:hAnsi="宋体" w:eastAsia="宋体" w:cs="宋体"/>
                <w:i w:val="0"/>
                <w:iCs w:val="0"/>
                <w:color w:val="000000"/>
                <w:sz w:val="18"/>
                <w:szCs w:val="18"/>
                <w:u w:val="none"/>
              </w:rPr>
            </w:pPr>
          </w:p>
        </w:tc>
      </w:tr>
      <w:tr w14:paraId="0BB1D5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79654EBC">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68EABE4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剧场舞台西侧</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7E4F175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042DA942">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68F2C72F">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照舞台</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76E16317">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742C156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5998F0AD">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31E99A19">
            <w:pPr>
              <w:jc w:val="both"/>
              <w:rPr>
                <w:rFonts w:hint="eastAsia" w:ascii="宋体" w:hAnsi="宋体" w:eastAsia="宋体" w:cs="宋体"/>
                <w:i w:val="0"/>
                <w:iCs w:val="0"/>
                <w:color w:val="000000"/>
                <w:sz w:val="18"/>
                <w:szCs w:val="18"/>
                <w:u w:val="none"/>
              </w:rPr>
            </w:pPr>
          </w:p>
        </w:tc>
      </w:tr>
      <w:tr w14:paraId="6D871D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526F564B">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467207A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剧场舞台西侧</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5235EC8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614C02BF">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0D574A90">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观众通道</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133C9263">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504B499D">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0A347969">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48D1C63F">
            <w:pPr>
              <w:jc w:val="both"/>
              <w:rPr>
                <w:rFonts w:hint="eastAsia" w:ascii="宋体" w:hAnsi="宋体" w:eastAsia="宋体" w:cs="宋体"/>
                <w:i w:val="0"/>
                <w:iCs w:val="0"/>
                <w:color w:val="000000"/>
                <w:sz w:val="18"/>
                <w:szCs w:val="18"/>
                <w:u w:val="none"/>
              </w:rPr>
            </w:pPr>
          </w:p>
        </w:tc>
      </w:tr>
      <w:tr w14:paraId="16D840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07893ACC">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21B0DAD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剧场舞台西侧</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2B05AA6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19F8211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525B86E1">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看一楼观众席</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06704CD6">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19A2DF1A">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48424246">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5F5A9EF4">
            <w:pPr>
              <w:jc w:val="both"/>
              <w:rPr>
                <w:rFonts w:hint="eastAsia" w:ascii="宋体" w:hAnsi="宋体" w:eastAsia="宋体" w:cs="宋体"/>
                <w:i w:val="0"/>
                <w:iCs w:val="0"/>
                <w:color w:val="000000"/>
                <w:sz w:val="18"/>
                <w:szCs w:val="18"/>
                <w:u w:val="none"/>
              </w:rPr>
            </w:pPr>
          </w:p>
        </w:tc>
      </w:tr>
      <w:tr w14:paraId="3129C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0EFB834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二层</w:t>
            </w:r>
          </w:p>
        </w:tc>
        <w:tc>
          <w:tcPr>
            <w:tcW w:w="1108" w:type="dxa"/>
            <w:tcBorders>
              <w:top w:val="single" w:color="000000" w:sz="4" w:space="0"/>
              <w:left w:val="single" w:color="000000" w:sz="4" w:space="0"/>
              <w:bottom w:val="single" w:color="000000" w:sz="4" w:space="0"/>
              <w:right w:val="single" w:color="000000" w:sz="4" w:space="0"/>
            </w:tcBorders>
            <w:noWrap/>
            <w:vAlign w:val="top"/>
          </w:tcPr>
          <w:p w14:paraId="3E92FE1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剧场摄像机</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7F09841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4C06705B">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5AD32916">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耳光室</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5A9667E7">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5ADB0664">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500559BA">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1C6D2D98">
            <w:pPr>
              <w:jc w:val="both"/>
              <w:rPr>
                <w:rFonts w:hint="eastAsia" w:ascii="宋体" w:hAnsi="宋体" w:eastAsia="宋体" w:cs="宋体"/>
                <w:i w:val="0"/>
                <w:iCs w:val="0"/>
                <w:color w:val="000000"/>
                <w:sz w:val="18"/>
                <w:szCs w:val="18"/>
                <w:u w:val="none"/>
              </w:rPr>
            </w:pPr>
          </w:p>
        </w:tc>
      </w:tr>
      <w:tr w14:paraId="0ED731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restart"/>
            <w:tcBorders>
              <w:top w:val="single" w:color="000000" w:sz="4" w:space="0"/>
              <w:left w:val="single" w:color="000000" w:sz="4" w:space="0"/>
              <w:bottom w:val="single" w:color="000000" w:sz="4" w:space="0"/>
              <w:right w:val="single" w:color="000000" w:sz="4" w:space="0"/>
            </w:tcBorders>
            <w:noWrap w:val="0"/>
            <w:vAlign w:val="top"/>
          </w:tcPr>
          <w:p w14:paraId="274FF11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三层</w:t>
            </w:r>
          </w:p>
        </w:tc>
        <w:tc>
          <w:tcPr>
            <w:tcW w:w="1108" w:type="dxa"/>
            <w:tcBorders>
              <w:top w:val="single" w:color="000000" w:sz="4" w:space="0"/>
              <w:left w:val="single" w:color="000000" w:sz="4" w:space="0"/>
              <w:bottom w:val="single" w:color="000000" w:sz="4" w:space="0"/>
              <w:right w:val="single" w:color="000000" w:sz="4" w:space="0"/>
            </w:tcBorders>
            <w:noWrap w:val="0"/>
            <w:vAlign w:val="top"/>
          </w:tcPr>
          <w:p w14:paraId="3186540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步梯间</w:t>
            </w:r>
          </w:p>
        </w:tc>
        <w:tc>
          <w:tcPr>
            <w:tcW w:w="941" w:type="dxa"/>
            <w:tcBorders>
              <w:top w:val="single" w:color="000000" w:sz="4" w:space="0"/>
              <w:left w:val="single" w:color="000000" w:sz="4" w:space="0"/>
              <w:bottom w:val="single" w:color="000000" w:sz="4" w:space="0"/>
              <w:right w:val="single" w:color="000000" w:sz="4" w:space="0"/>
            </w:tcBorders>
            <w:noWrap w:val="0"/>
            <w:vAlign w:val="top"/>
          </w:tcPr>
          <w:p w14:paraId="4C91154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枪型</w:t>
            </w:r>
          </w:p>
        </w:tc>
        <w:tc>
          <w:tcPr>
            <w:tcW w:w="870" w:type="dxa"/>
            <w:tcBorders>
              <w:top w:val="single" w:color="000000" w:sz="4" w:space="0"/>
              <w:left w:val="single" w:color="000000" w:sz="4" w:space="0"/>
              <w:bottom w:val="single" w:color="000000" w:sz="4" w:space="0"/>
              <w:right w:val="single" w:color="000000" w:sz="4" w:space="0"/>
            </w:tcBorders>
            <w:noWrap w:val="0"/>
            <w:vAlign w:val="top"/>
          </w:tcPr>
          <w:p w14:paraId="3DC50373">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826" w:type="dxa"/>
            <w:tcBorders>
              <w:top w:val="single" w:color="000000" w:sz="4" w:space="0"/>
              <w:left w:val="single" w:color="000000" w:sz="4" w:space="0"/>
              <w:bottom w:val="single" w:color="000000" w:sz="4" w:space="0"/>
              <w:right w:val="single" w:color="000000" w:sz="4" w:space="0"/>
            </w:tcBorders>
            <w:noWrap w:val="0"/>
            <w:vAlign w:val="top"/>
          </w:tcPr>
          <w:p w14:paraId="69DDFBB8">
            <w:pPr>
              <w:jc w:val="both"/>
              <w:rPr>
                <w:rFonts w:hint="eastAsia" w:ascii="宋体" w:hAnsi="宋体" w:eastAsia="宋体" w:cs="宋体"/>
                <w:i w:val="0"/>
                <w:iCs w:val="0"/>
                <w:color w:val="000000"/>
                <w:sz w:val="18"/>
                <w:szCs w:val="18"/>
                <w:u w:val="none"/>
              </w:rPr>
            </w:pPr>
          </w:p>
        </w:tc>
        <w:tc>
          <w:tcPr>
            <w:tcW w:w="739" w:type="dxa"/>
            <w:tcBorders>
              <w:top w:val="single" w:color="000000" w:sz="4" w:space="0"/>
              <w:left w:val="single" w:color="000000" w:sz="4" w:space="0"/>
              <w:bottom w:val="single" w:color="000000" w:sz="4" w:space="0"/>
              <w:right w:val="single" w:color="000000" w:sz="4" w:space="0"/>
            </w:tcBorders>
            <w:noWrap w:val="0"/>
            <w:vAlign w:val="top"/>
          </w:tcPr>
          <w:p w14:paraId="29F51B7B">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884" w:type="dxa"/>
            <w:tcBorders>
              <w:top w:val="single" w:color="000000" w:sz="4" w:space="0"/>
              <w:left w:val="single" w:color="000000" w:sz="4" w:space="0"/>
              <w:bottom w:val="single" w:color="000000" w:sz="4" w:space="0"/>
              <w:right w:val="single" w:color="000000" w:sz="4" w:space="0"/>
            </w:tcBorders>
            <w:noWrap w:val="0"/>
            <w:vAlign w:val="top"/>
          </w:tcPr>
          <w:p w14:paraId="1D46A5D2">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24BF9457">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0D7025CC">
            <w:pPr>
              <w:jc w:val="both"/>
              <w:rPr>
                <w:rFonts w:hint="eastAsia" w:ascii="宋体" w:hAnsi="宋体" w:eastAsia="宋体" w:cs="宋体"/>
                <w:i w:val="0"/>
                <w:iCs w:val="0"/>
                <w:color w:val="000000"/>
                <w:sz w:val="18"/>
                <w:szCs w:val="18"/>
                <w:u w:val="none"/>
              </w:rPr>
            </w:pPr>
          </w:p>
        </w:tc>
      </w:tr>
      <w:tr w14:paraId="05B3AA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45F35884">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5B75D37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剧场摄像机</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2B6AF16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1BBD3ADE">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57FE8FF9">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耳光功放室</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736F4827">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27C513F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6F96A868">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146E5B2C">
            <w:pPr>
              <w:jc w:val="both"/>
              <w:rPr>
                <w:rFonts w:hint="eastAsia" w:ascii="宋体" w:hAnsi="宋体" w:eastAsia="宋体" w:cs="宋体"/>
                <w:i w:val="0"/>
                <w:iCs w:val="0"/>
                <w:color w:val="000000"/>
                <w:sz w:val="18"/>
                <w:szCs w:val="18"/>
                <w:u w:val="none"/>
              </w:rPr>
            </w:pPr>
          </w:p>
        </w:tc>
      </w:tr>
      <w:tr w14:paraId="11D1B1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7D214BBD">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6262999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剧场摄像机</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5B1B12A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62B15AFF">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05CD744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3楼机械层</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40437218">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6EA9BB58">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ign w:val="top"/>
          </w:tcPr>
          <w:p w14:paraId="3C660F4F">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ign w:val="top"/>
          </w:tcPr>
          <w:p w14:paraId="64474CAF">
            <w:pPr>
              <w:jc w:val="both"/>
              <w:rPr>
                <w:rFonts w:hint="eastAsia" w:ascii="宋体" w:hAnsi="宋体" w:eastAsia="宋体" w:cs="宋体"/>
                <w:i w:val="0"/>
                <w:iCs w:val="0"/>
                <w:color w:val="000000"/>
                <w:sz w:val="18"/>
                <w:szCs w:val="18"/>
                <w:u w:val="none"/>
              </w:rPr>
            </w:pPr>
          </w:p>
        </w:tc>
      </w:tr>
      <w:tr w14:paraId="4EB137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restart"/>
            <w:tcBorders>
              <w:top w:val="single" w:color="000000" w:sz="4" w:space="0"/>
              <w:left w:val="single" w:color="000000" w:sz="4" w:space="0"/>
              <w:bottom w:val="single" w:color="000000" w:sz="4" w:space="0"/>
              <w:right w:val="single" w:color="000000" w:sz="4" w:space="0"/>
            </w:tcBorders>
            <w:noWrap w:val="0"/>
            <w:vAlign w:val="top"/>
          </w:tcPr>
          <w:p w14:paraId="6D36811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四层</w:t>
            </w:r>
          </w:p>
        </w:tc>
        <w:tc>
          <w:tcPr>
            <w:tcW w:w="1108" w:type="dxa"/>
            <w:tcBorders>
              <w:top w:val="single" w:color="000000" w:sz="4" w:space="0"/>
              <w:left w:val="single" w:color="000000" w:sz="4" w:space="0"/>
              <w:bottom w:val="single" w:color="000000" w:sz="4" w:space="0"/>
              <w:right w:val="single" w:color="000000" w:sz="4" w:space="0"/>
            </w:tcBorders>
            <w:noWrap/>
            <w:vAlign w:val="top"/>
          </w:tcPr>
          <w:p w14:paraId="536D6AF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剧场摄像机</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6C1D7EC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3CFF0ABE">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64AD9BA3">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面光灯灯道</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1E9A0AC3">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0E9488BB">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45C74B5E">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6068EEC3">
            <w:pPr>
              <w:jc w:val="both"/>
              <w:rPr>
                <w:rFonts w:hint="eastAsia" w:ascii="宋体" w:hAnsi="宋体" w:eastAsia="宋体" w:cs="宋体"/>
                <w:i w:val="0"/>
                <w:iCs w:val="0"/>
                <w:color w:val="000000"/>
                <w:sz w:val="18"/>
                <w:szCs w:val="18"/>
                <w:u w:val="none"/>
              </w:rPr>
            </w:pPr>
          </w:p>
        </w:tc>
      </w:tr>
      <w:tr w14:paraId="7ABD6F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7DE3340D">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166727A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剧场摄像机</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77FC521D">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787BF988">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0BC64678">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4楼灯光室</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3B0A616C">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681CC503">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6C4B9991">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3B6294EA">
            <w:pPr>
              <w:jc w:val="both"/>
              <w:rPr>
                <w:rFonts w:hint="eastAsia" w:ascii="宋体" w:hAnsi="宋体" w:eastAsia="宋体" w:cs="宋体"/>
                <w:i w:val="0"/>
                <w:iCs w:val="0"/>
                <w:color w:val="000000"/>
                <w:sz w:val="18"/>
                <w:szCs w:val="18"/>
                <w:u w:val="none"/>
              </w:rPr>
            </w:pPr>
          </w:p>
        </w:tc>
      </w:tr>
      <w:tr w14:paraId="0EA08F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restart"/>
            <w:tcBorders>
              <w:top w:val="single" w:color="000000" w:sz="4" w:space="0"/>
              <w:left w:val="single" w:color="000000" w:sz="4" w:space="0"/>
              <w:bottom w:val="single" w:color="000000" w:sz="4" w:space="0"/>
              <w:right w:val="single" w:color="000000" w:sz="4" w:space="0"/>
            </w:tcBorders>
            <w:noWrap w:val="0"/>
            <w:vAlign w:val="top"/>
          </w:tcPr>
          <w:p w14:paraId="2E4EE236">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0A85C99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剧场摄像机</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13100A8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289EC750">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622B7FE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5楼机械电气机柜</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000AF7CD">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782E82A4">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0A7396C4">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60BC3EC9">
            <w:pPr>
              <w:jc w:val="both"/>
              <w:rPr>
                <w:rFonts w:hint="eastAsia" w:ascii="宋体" w:hAnsi="宋体" w:eastAsia="宋体" w:cs="宋体"/>
                <w:i w:val="0"/>
                <w:iCs w:val="0"/>
                <w:color w:val="000000"/>
                <w:sz w:val="18"/>
                <w:szCs w:val="18"/>
                <w:u w:val="none"/>
              </w:rPr>
            </w:pPr>
          </w:p>
        </w:tc>
      </w:tr>
      <w:tr w14:paraId="467EB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89" w:type="dxa"/>
            <w:vMerge w:val="continue"/>
            <w:tcBorders>
              <w:top w:val="single" w:color="000000" w:sz="4" w:space="0"/>
              <w:left w:val="single" w:color="000000" w:sz="4" w:space="0"/>
              <w:bottom w:val="single" w:color="000000" w:sz="4" w:space="0"/>
              <w:right w:val="single" w:color="000000" w:sz="4" w:space="0"/>
            </w:tcBorders>
            <w:noWrap w:val="0"/>
            <w:vAlign w:val="top"/>
          </w:tcPr>
          <w:p w14:paraId="4B50C64B">
            <w:pPr>
              <w:jc w:val="both"/>
              <w:rPr>
                <w:rFonts w:hint="eastAsia" w:ascii="宋体" w:hAnsi="宋体" w:eastAsia="宋体" w:cs="宋体"/>
                <w:i w:val="0"/>
                <w:iCs w:val="0"/>
                <w:color w:val="000000"/>
                <w:sz w:val="18"/>
                <w:szCs w:val="18"/>
                <w:u w:val="none"/>
              </w:rPr>
            </w:pPr>
          </w:p>
        </w:tc>
        <w:tc>
          <w:tcPr>
            <w:tcW w:w="1108" w:type="dxa"/>
            <w:tcBorders>
              <w:top w:val="single" w:color="000000" w:sz="4" w:space="0"/>
              <w:left w:val="single" w:color="000000" w:sz="4" w:space="0"/>
              <w:bottom w:val="single" w:color="000000" w:sz="4" w:space="0"/>
              <w:right w:val="single" w:color="000000" w:sz="4" w:space="0"/>
            </w:tcBorders>
            <w:noWrap/>
            <w:vAlign w:val="top"/>
          </w:tcPr>
          <w:p w14:paraId="276C0A0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剧场摄像机</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560C848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5868571C">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4E8CEC0D">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5楼可控硅室</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0A188E14">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55A7031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5EB4FF85">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1D4DB46D">
            <w:pPr>
              <w:jc w:val="both"/>
              <w:rPr>
                <w:rFonts w:hint="eastAsia" w:ascii="宋体" w:hAnsi="宋体" w:eastAsia="宋体" w:cs="宋体"/>
                <w:i w:val="0"/>
                <w:iCs w:val="0"/>
                <w:color w:val="000000"/>
                <w:sz w:val="18"/>
                <w:szCs w:val="18"/>
                <w:u w:val="none"/>
              </w:rPr>
            </w:pPr>
          </w:p>
        </w:tc>
      </w:tr>
      <w:tr w14:paraId="2F966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66B53B4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顶层</w:t>
            </w:r>
          </w:p>
        </w:tc>
        <w:tc>
          <w:tcPr>
            <w:tcW w:w="1108" w:type="dxa"/>
            <w:tcBorders>
              <w:top w:val="single" w:color="000000" w:sz="4" w:space="0"/>
              <w:left w:val="single" w:color="000000" w:sz="4" w:space="0"/>
              <w:bottom w:val="single" w:color="000000" w:sz="4" w:space="0"/>
              <w:right w:val="single" w:color="000000" w:sz="4" w:space="0"/>
            </w:tcBorders>
            <w:noWrap/>
            <w:vAlign w:val="top"/>
          </w:tcPr>
          <w:p w14:paraId="0EF887D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水箱间</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17E55F5A">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066D59ED">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020C6021">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水箱间</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4A023B95">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1B134A9F">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779994E2">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5DE599C9">
            <w:pPr>
              <w:jc w:val="both"/>
              <w:rPr>
                <w:rFonts w:hint="eastAsia" w:ascii="宋体" w:hAnsi="宋体" w:eastAsia="宋体" w:cs="宋体"/>
                <w:i w:val="0"/>
                <w:iCs w:val="0"/>
                <w:color w:val="000000"/>
                <w:sz w:val="18"/>
                <w:szCs w:val="18"/>
                <w:u w:val="none"/>
              </w:rPr>
            </w:pPr>
          </w:p>
        </w:tc>
      </w:tr>
      <w:tr w14:paraId="05306A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252CC5E9">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顶层</w:t>
            </w:r>
          </w:p>
        </w:tc>
        <w:tc>
          <w:tcPr>
            <w:tcW w:w="1108" w:type="dxa"/>
            <w:tcBorders>
              <w:top w:val="single" w:color="000000" w:sz="4" w:space="0"/>
              <w:left w:val="single" w:color="000000" w:sz="4" w:space="0"/>
              <w:bottom w:val="single" w:color="000000" w:sz="4" w:space="0"/>
              <w:right w:val="single" w:color="000000" w:sz="4" w:space="0"/>
            </w:tcBorders>
            <w:noWrap/>
            <w:vAlign w:val="top"/>
          </w:tcPr>
          <w:p w14:paraId="1067FCF4">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平台出入口</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70407B52">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4812D362">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175BB933">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平台出入口</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6B1EFE00">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6E21B21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08E7CC50">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6C5395AB">
            <w:pPr>
              <w:jc w:val="both"/>
              <w:rPr>
                <w:rFonts w:hint="eastAsia" w:ascii="宋体" w:hAnsi="宋体" w:eastAsia="宋体" w:cs="宋体"/>
                <w:i w:val="0"/>
                <w:iCs w:val="0"/>
                <w:color w:val="000000"/>
                <w:sz w:val="18"/>
                <w:szCs w:val="18"/>
                <w:u w:val="none"/>
              </w:rPr>
            </w:pPr>
          </w:p>
        </w:tc>
      </w:tr>
      <w:tr w14:paraId="77323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6042EC9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剧场舞台正下方</w:t>
            </w:r>
          </w:p>
        </w:tc>
        <w:tc>
          <w:tcPr>
            <w:tcW w:w="1108" w:type="dxa"/>
            <w:tcBorders>
              <w:top w:val="single" w:color="000000" w:sz="4" w:space="0"/>
              <w:left w:val="single" w:color="000000" w:sz="4" w:space="0"/>
              <w:bottom w:val="single" w:color="000000" w:sz="4" w:space="0"/>
              <w:right w:val="single" w:color="000000" w:sz="4" w:space="0"/>
            </w:tcBorders>
            <w:noWrap/>
            <w:vAlign w:val="top"/>
          </w:tcPr>
          <w:p w14:paraId="13E8643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剧场摄像机</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4AF9A3CE">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2608AB65">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2C58C50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舞台正下方设备间</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6D9940BB">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1AF955BC">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0F0FE4E8">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63D586DC">
            <w:pPr>
              <w:jc w:val="both"/>
              <w:rPr>
                <w:rFonts w:hint="eastAsia" w:ascii="宋体" w:hAnsi="宋体" w:eastAsia="宋体" w:cs="宋体"/>
                <w:i w:val="0"/>
                <w:iCs w:val="0"/>
                <w:color w:val="000000"/>
                <w:sz w:val="18"/>
                <w:szCs w:val="18"/>
                <w:u w:val="none"/>
              </w:rPr>
            </w:pPr>
          </w:p>
        </w:tc>
      </w:tr>
      <w:tr w14:paraId="0F6816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66F24E05">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负一层</w:t>
            </w:r>
          </w:p>
        </w:tc>
        <w:tc>
          <w:tcPr>
            <w:tcW w:w="1108" w:type="dxa"/>
            <w:tcBorders>
              <w:top w:val="single" w:color="000000" w:sz="4" w:space="0"/>
              <w:left w:val="single" w:color="000000" w:sz="4" w:space="0"/>
              <w:bottom w:val="single" w:color="000000" w:sz="4" w:space="0"/>
              <w:right w:val="single" w:color="000000" w:sz="4" w:space="0"/>
            </w:tcBorders>
            <w:noWrap/>
            <w:vAlign w:val="top"/>
          </w:tcPr>
          <w:p w14:paraId="08FAC8DC">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监控室</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4A279F4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5FB6A72F">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0E8DF4D9">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监控室</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5519EEB4">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721E71F9">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64CD154F">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5B4B2406">
            <w:pPr>
              <w:jc w:val="both"/>
              <w:rPr>
                <w:rFonts w:hint="eastAsia" w:ascii="宋体" w:hAnsi="宋体" w:eastAsia="宋体" w:cs="宋体"/>
                <w:i w:val="0"/>
                <w:iCs w:val="0"/>
                <w:color w:val="000000"/>
                <w:sz w:val="18"/>
                <w:szCs w:val="18"/>
                <w:u w:val="none"/>
              </w:rPr>
            </w:pPr>
          </w:p>
        </w:tc>
      </w:tr>
      <w:tr w14:paraId="7C345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430D4690">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负一层</w:t>
            </w:r>
          </w:p>
        </w:tc>
        <w:tc>
          <w:tcPr>
            <w:tcW w:w="1108" w:type="dxa"/>
            <w:tcBorders>
              <w:top w:val="single" w:color="000000" w:sz="4" w:space="0"/>
              <w:left w:val="single" w:color="000000" w:sz="4" w:space="0"/>
              <w:bottom w:val="single" w:color="000000" w:sz="4" w:space="0"/>
              <w:right w:val="single" w:color="000000" w:sz="4" w:space="0"/>
            </w:tcBorders>
            <w:noWrap/>
            <w:vAlign w:val="top"/>
          </w:tcPr>
          <w:p w14:paraId="6DAA4A1B">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配电间</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7E4D03F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448266D6">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03E882E3">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配电室</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40D974A4">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4B2F0930">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72A614DB">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4A5A73B2">
            <w:pPr>
              <w:jc w:val="both"/>
              <w:rPr>
                <w:rFonts w:hint="eastAsia" w:ascii="宋体" w:hAnsi="宋体" w:eastAsia="宋体" w:cs="宋体"/>
                <w:i w:val="0"/>
                <w:iCs w:val="0"/>
                <w:color w:val="000000"/>
                <w:sz w:val="18"/>
                <w:szCs w:val="18"/>
                <w:u w:val="none"/>
              </w:rPr>
            </w:pPr>
          </w:p>
        </w:tc>
      </w:tr>
      <w:tr w14:paraId="0B1A30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5573D808">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负一层</w:t>
            </w:r>
          </w:p>
        </w:tc>
        <w:tc>
          <w:tcPr>
            <w:tcW w:w="1108" w:type="dxa"/>
            <w:tcBorders>
              <w:top w:val="single" w:color="000000" w:sz="4" w:space="0"/>
              <w:left w:val="single" w:color="000000" w:sz="4" w:space="0"/>
              <w:bottom w:val="single" w:color="000000" w:sz="4" w:space="0"/>
              <w:right w:val="single" w:color="000000" w:sz="4" w:space="0"/>
            </w:tcBorders>
            <w:noWrap/>
            <w:vAlign w:val="top"/>
          </w:tcPr>
          <w:p w14:paraId="746CB962">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食堂</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0C9C4707">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01075105">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00620A5A">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食堂</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2BB90E4B">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052BB48F">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2E32EE57">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46B2DB05">
            <w:pPr>
              <w:jc w:val="both"/>
              <w:rPr>
                <w:rFonts w:hint="eastAsia" w:ascii="宋体" w:hAnsi="宋体" w:eastAsia="宋体" w:cs="宋体"/>
                <w:i w:val="0"/>
                <w:iCs w:val="0"/>
                <w:color w:val="000000"/>
                <w:sz w:val="18"/>
                <w:szCs w:val="18"/>
                <w:u w:val="none"/>
              </w:rPr>
            </w:pPr>
          </w:p>
        </w:tc>
      </w:tr>
      <w:tr w14:paraId="28DACB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89" w:type="dxa"/>
            <w:tcBorders>
              <w:top w:val="single" w:color="000000" w:sz="4" w:space="0"/>
              <w:left w:val="single" w:color="000000" w:sz="4" w:space="0"/>
              <w:bottom w:val="single" w:color="000000" w:sz="4" w:space="0"/>
              <w:right w:val="single" w:color="000000" w:sz="4" w:space="0"/>
            </w:tcBorders>
            <w:noWrap w:val="0"/>
            <w:vAlign w:val="top"/>
          </w:tcPr>
          <w:p w14:paraId="76F8BC43">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负一层</w:t>
            </w:r>
          </w:p>
        </w:tc>
        <w:tc>
          <w:tcPr>
            <w:tcW w:w="1108" w:type="dxa"/>
            <w:tcBorders>
              <w:top w:val="single" w:color="000000" w:sz="4" w:space="0"/>
              <w:left w:val="single" w:color="000000" w:sz="4" w:space="0"/>
              <w:bottom w:val="single" w:color="000000" w:sz="4" w:space="0"/>
              <w:right w:val="single" w:color="000000" w:sz="4" w:space="0"/>
            </w:tcBorders>
            <w:noWrap/>
            <w:vAlign w:val="top"/>
          </w:tcPr>
          <w:p w14:paraId="73EC5461">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回填层库房</w:t>
            </w:r>
          </w:p>
        </w:tc>
        <w:tc>
          <w:tcPr>
            <w:tcW w:w="941" w:type="dxa"/>
            <w:tcBorders>
              <w:top w:val="single" w:color="000000" w:sz="4" w:space="0"/>
              <w:left w:val="single" w:color="000000" w:sz="4" w:space="0"/>
              <w:bottom w:val="single" w:color="000000" w:sz="4" w:space="0"/>
              <w:right w:val="single" w:color="000000" w:sz="4" w:space="0"/>
            </w:tcBorders>
            <w:noWrap/>
            <w:vAlign w:val="top"/>
          </w:tcPr>
          <w:p w14:paraId="1F5AD13F">
            <w:pPr>
              <w:keepNext w:val="0"/>
              <w:keepLines w:val="0"/>
              <w:widowControl/>
              <w:suppressLineNumbers w:val="0"/>
              <w:ind w:left="0" w:leftChars="0" w:firstLine="0" w:firstLineChars="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枪机</w:t>
            </w:r>
          </w:p>
        </w:tc>
        <w:tc>
          <w:tcPr>
            <w:tcW w:w="870" w:type="dxa"/>
            <w:tcBorders>
              <w:top w:val="single" w:color="000000" w:sz="4" w:space="0"/>
              <w:left w:val="single" w:color="000000" w:sz="4" w:space="0"/>
              <w:bottom w:val="single" w:color="000000" w:sz="4" w:space="0"/>
              <w:right w:val="single" w:color="000000" w:sz="4" w:space="0"/>
            </w:tcBorders>
            <w:noWrap/>
            <w:vAlign w:val="top"/>
          </w:tcPr>
          <w:p w14:paraId="3796B589">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826" w:type="dxa"/>
            <w:tcBorders>
              <w:top w:val="single" w:color="000000" w:sz="4" w:space="0"/>
              <w:left w:val="single" w:color="000000" w:sz="4" w:space="0"/>
              <w:bottom w:val="single" w:color="000000" w:sz="4" w:space="0"/>
              <w:right w:val="single" w:color="000000" w:sz="4" w:space="0"/>
            </w:tcBorders>
            <w:noWrap/>
            <w:vAlign w:val="top"/>
          </w:tcPr>
          <w:p w14:paraId="28BC8D54">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库房</w:t>
            </w:r>
          </w:p>
        </w:tc>
        <w:tc>
          <w:tcPr>
            <w:tcW w:w="739" w:type="dxa"/>
            <w:tcBorders>
              <w:top w:val="single" w:color="000000" w:sz="4" w:space="0"/>
              <w:left w:val="single" w:color="000000" w:sz="4" w:space="0"/>
              <w:bottom w:val="single" w:color="000000" w:sz="4" w:space="0"/>
              <w:right w:val="single" w:color="000000" w:sz="4" w:space="0"/>
            </w:tcBorders>
            <w:noWrap/>
            <w:vAlign w:val="top"/>
          </w:tcPr>
          <w:p w14:paraId="488431A5">
            <w:pPr>
              <w:jc w:val="both"/>
              <w:rPr>
                <w:rFonts w:hint="eastAsia" w:ascii="宋体" w:hAnsi="宋体" w:eastAsia="宋体" w:cs="宋体"/>
                <w:i w:val="0"/>
                <w:iCs w:val="0"/>
                <w:color w:val="000000"/>
                <w:sz w:val="18"/>
                <w:szCs w:val="18"/>
                <w:u w:val="none"/>
              </w:rPr>
            </w:pPr>
          </w:p>
        </w:tc>
        <w:tc>
          <w:tcPr>
            <w:tcW w:w="884" w:type="dxa"/>
            <w:tcBorders>
              <w:top w:val="single" w:color="000000" w:sz="4" w:space="0"/>
              <w:left w:val="single" w:color="000000" w:sz="4" w:space="0"/>
              <w:bottom w:val="single" w:color="000000" w:sz="4" w:space="0"/>
              <w:right w:val="single" w:color="000000" w:sz="4" w:space="0"/>
            </w:tcBorders>
            <w:noWrap/>
            <w:vAlign w:val="top"/>
          </w:tcPr>
          <w:p w14:paraId="2F0388B2">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39D2E6DE">
            <w:pPr>
              <w:jc w:val="both"/>
              <w:rPr>
                <w:rFonts w:hint="eastAsia" w:ascii="宋体" w:hAnsi="宋体" w:eastAsia="宋体" w:cs="宋体"/>
                <w:i w:val="0"/>
                <w:iCs w:val="0"/>
                <w:color w:val="000000"/>
                <w:sz w:val="18"/>
                <w:szCs w:val="18"/>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29DAFBAD">
            <w:pPr>
              <w:jc w:val="both"/>
              <w:rPr>
                <w:rFonts w:hint="eastAsia" w:ascii="宋体" w:hAnsi="宋体" w:eastAsia="宋体" w:cs="宋体"/>
                <w:i w:val="0"/>
                <w:iCs w:val="0"/>
                <w:color w:val="000000"/>
                <w:sz w:val="18"/>
                <w:szCs w:val="18"/>
                <w:u w:val="none"/>
              </w:rPr>
            </w:pPr>
          </w:p>
        </w:tc>
      </w:tr>
      <w:tr w14:paraId="0B66C9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2838" w:type="dxa"/>
            <w:gridSpan w:val="3"/>
            <w:tcBorders>
              <w:top w:val="single" w:color="000000" w:sz="4" w:space="0"/>
              <w:left w:val="single" w:color="000000" w:sz="4" w:space="0"/>
              <w:bottom w:val="single" w:color="000000" w:sz="4" w:space="0"/>
              <w:right w:val="single" w:color="000000" w:sz="4" w:space="0"/>
            </w:tcBorders>
            <w:noWrap w:val="0"/>
            <w:vAlign w:val="top"/>
          </w:tcPr>
          <w:p w14:paraId="59DD00CE">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870" w:type="dxa"/>
            <w:tcBorders>
              <w:top w:val="single" w:color="000000" w:sz="4" w:space="0"/>
              <w:left w:val="single" w:color="000000" w:sz="4" w:space="0"/>
              <w:bottom w:val="single" w:color="000000" w:sz="4" w:space="0"/>
              <w:right w:val="single" w:color="000000" w:sz="4" w:space="0"/>
            </w:tcBorders>
            <w:noWrap w:val="0"/>
            <w:vAlign w:val="top"/>
          </w:tcPr>
          <w:p w14:paraId="08D99D87">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w:t>
            </w:r>
          </w:p>
        </w:tc>
        <w:tc>
          <w:tcPr>
            <w:tcW w:w="1826" w:type="dxa"/>
            <w:tcBorders>
              <w:top w:val="single" w:color="000000" w:sz="4" w:space="0"/>
              <w:left w:val="single" w:color="000000" w:sz="4" w:space="0"/>
              <w:bottom w:val="single" w:color="000000" w:sz="4" w:space="0"/>
              <w:right w:val="single" w:color="000000" w:sz="4" w:space="0"/>
            </w:tcBorders>
            <w:noWrap w:val="0"/>
            <w:vAlign w:val="top"/>
          </w:tcPr>
          <w:p w14:paraId="1FA2140E">
            <w:pPr>
              <w:jc w:val="both"/>
              <w:rPr>
                <w:rFonts w:hint="eastAsia" w:ascii="宋体" w:hAnsi="宋体" w:eastAsia="宋体" w:cs="宋体"/>
                <w:i w:val="0"/>
                <w:iCs w:val="0"/>
                <w:color w:val="000000"/>
                <w:sz w:val="18"/>
                <w:szCs w:val="18"/>
                <w:u w:val="none"/>
              </w:rPr>
            </w:pPr>
          </w:p>
        </w:tc>
        <w:tc>
          <w:tcPr>
            <w:tcW w:w="739" w:type="dxa"/>
            <w:tcBorders>
              <w:top w:val="single" w:color="000000" w:sz="4" w:space="0"/>
              <w:left w:val="single" w:color="000000" w:sz="4" w:space="0"/>
              <w:bottom w:val="single" w:color="000000" w:sz="4" w:space="0"/>
              <w:right w:val="single" w:color="000000" w:sz="4" w:space="0"/>
            </w:tcBorders>
            <w:noWrap w:val="0"/>
            <w:vAlign w:val="top"/>
          </w:tcPr>
          <w:p w14:paraId="142705F2">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884" w:type="dxa"/>
            <w:tcBorders>
              <w:top w:val="single" w:color="000000" w:sz="4" w:space="0"/>
              <w:left w:val="single" w:color="000000" w:sz="4" w:space="0"/>
              <w:bottom w:val="single" w:color="000000" w:sz="4" w:space="0"/>
              <w:right w:val="single" w:color="000000" w:sz="4" w:space="0"/>
            </w:tcBorders>
            <w:noWrap w:val="0"/>
            <w:vAlign w:val="top"/>
          </w:tcPr>
          <w:p w14:paraId="654888D9">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03100DAF">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40" w:type="dxa"/>
            <w:tcBorders>
              <w:top w:val="single" w:color="000000" w:sz="4" w:space="0"/>
              <w:left w:val="single" w:color="000000" w:sz="4" w:space="0"/>
              <w:bottom w:val="single" w:color="000000" w:sz="4" w:space="0"/>
              <w:right w:val="single" w:color="000000" w:sz="4" w:space="0"/>
            </w:tcBorders>
            <w:noWrap w:val="0"/>
            <w:vAlign w:val="top"/>
          </w:tcPr>
          <w:p w14:paraId="2F423D74">
            <w:pPr>
              <w:keepNext w:val="0"/>
              <w:keepLines w:val="0"/>
              <w:widowControl/>
              <w:suppressLineNumbers w:val="0"/>
              <w:jc w:val="both"/>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r>
    </w:tbl>
    <w:p w14:paraId="7570AA97">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7" w:name="_Toc130732395"/>
      <w:bookmarkStart w:id="8" w:name="_Toc1926"/>
      <w:r>
        <w:rPr>
          <w:rFonts w:hint="eastAsia" w:ascii="黑体" w:hAnsi="黑体" w:eastAsia="黑体" w:cs="黑体"/>
          <w:b w:val="0"/>
          <w:bCs w:val="0"/>
          <w:kern w:val="2"/>
          <w:sz w:val="32"/>
          <w:szCs w:val="32"/>
          <w:lang w:val="en-US" w:eastAsia="zh-CN" w:bidi="ar-SA"/>
        </w:rPr>
        <w:t>五、项目实施周期</w:t>
      </w:r>
      <w:bookmarkEnd w:id="7"/>
      <w:bookmarkEnd w:id="8"/>
    </w:p>
    <w:p w14:paraId="019FE5D5">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本项目拟定实施周期90天。</w:t>
      </w:r>
      <w:bookmarkStart w:id="9" w:name="_Toc19782"/>
      <w:bookmarkStart w:id="10" w:name="_Toc16676"/>
      <w:bookmarkStart w:id="11" w:name="_Toc23926"/>
    </w:p>
    <w:p w14:paraId="4E9CEEFB">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12" w:name="_Toc17738"/>
      <w:bookmarkStart w:id="13" w:name="_Toc130732396"/>
      <w:r>
        <w:rPr>
          <w:rFonts w:hint="eastAsia" w:ascii="黑体" w:hAnsi="黑体" w:eastAsia="黑体" w:cs="黑体"/>
          <w:b w:val="0"/>
          <w:bCs w:val="0"/>
          <w:kern w:val="2"/>
          <w:sz w:val="32"/>
          <w:szCs w:val="32"/>
          <w:lang w:val="en-US" w:eastAsia="zh-CN" w:bidi="ar-SA"/>
        </w:rPr>
        <w:t>六、现状及存在问题</w:t>
      </w:r>
      <w:bookmarkEnd w:id="9"/>
      <w:bookmarkEnd w:id="10"/>
      <w:bookmarkEnd w:id="11"/>
      <w:bookmarkEnd w:id="12"/>
      <w:bookmarkEnd w:id="13"/>
    </w:p>
    <w:p w14:paraId="09BAC416">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现有监控点位覆盖密度小，不能满足主要通道无死角监控，地下停车场及室外监控，楼内盲区点位较多，需增</w:t>
      </w:r>
      <w:r>
        <w:rPr>
          <w:rFonts w:hint="eastAsia" w:cs="仿宋_GB2312"/>
          <w:b w:val="0"/>
          <w:bCs w:val="0"/>
          <w:kern w:val="2"/>
          <w:sz w:val="32"/>
          <w:szCs w:val="32"/>
          <w:lang w:val="en-US" w:eastAsia="zh-CN" w:bidi="ar-SA"/>
        </w:rPr>
        <w:t>设</w:t>
      </w:r>
      <w:r>
        <w:rPr>
          <w:rFonts w:hint="eastAsia" w:ascii="仿宋_GB2312" w:hAnsi="仿宋_GB2312" w:eastAsia="仿宋_GB2312" w:cs="仿宋_GB2312"/>
          <w:b w:val="0"/>
          <w:bCs w:val="0"/>
          <w:kern w:val="2"/>
          <w:sz w:val="32"/>
          <w:szCs w:val="32"/>
          <w:lang w:val="en-US" w:eastAsia="zh-CN" w:bidi="ar-SA"/>
        </w:rPr>
        <w:t>摄像机扩大监控范围。</w:t>
      </w:r>
    </w:p>
    <w:p w14:paraId="2FA98045">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目前已有232路200万高清摄像机、5台16盘位存储主机、50块4T硬盘。现有监控存储容量能满足232路200万高清摄像机存储90天，无法满足视频存储180天的需求，因此新增建设摄像机需对存储系统进行扩容保证新增摄像机视频满足存储180天要求。</w:t>
      </w:r>
      <w:bookmarkStart w:id="14" w:name="_Toc7883"/>
      <w:bookmarkStart w:id="15" w:name="_Toc27790"/>
      <w:bookmarkStart w:id="16" w:name="_Toc1735"/>
    </w:p>
    <w:p w14:paraId="29CA2337">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我馆目前管理平台以及存储设备品牌为天地伟业，前端摄像机品牌为天地伟业。天地伟业的摄像机是通过onvif协议添加到监控平台做的录像计划。前端摄像机码流类型为H.264。</w:t>
      </w:r>
    </w:p>
    <w:p w14:paraId="1F525A13">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标准H.264 存储方式为1080P、4Mbit/s的实时码率进行存储；</w:t>
      </w:r>
    </w:p>
    <w:p w14:paraId="266D7FA8">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 xml:space="preserve">标准H.265 存储方式为 1080P、2Mbit/s的实时码率进行存储。 </w:t>
      </w:r>
    </w:p>
    <w:p w14:paraId="3DD1E46C">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17" w:name="_Toc130732397"/>
      <w:bookmarkStart w:id="18" w:name="_Toc32456"/>
      <w:r>
        <w:rPr>
          <w:rFonts w:hint="eastAsia" w:ascii="黑体" w:hAnsi="黑体" w:eastAsia="黑体" w:cs="黑体"/>
          <w:b w:val="0"/>
          <w:bCs w:val="0"/>
          <w:kern w:val="2"/>
          <w:sz w:val="32"/>
          <w:szCs w:val="32"/>
          <w:lang w:val="en-US" w:eastAsia="zh-CN" w:bidi="ar-SA"/>
        </w:rPr>
        <w:t>七、建设原则及依据</w:t>
      </w:r>
      <w:bookmarkEnd w:id="14"/>
      <w:bookmarkEnd w:id="15"/>
      <w:bookmarkEnd w:id="16"/>
      <w:bookmarkEnd w:id="17"/>
      <w:bookmarkEnd w:id="18"/>
    </w:p>
    <w:p w14:paraId="73CFC90F">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19" w:name="_Toc130732399"/>
      <w:bookmarkStart w:id="20" w:name="_Toc26109"/>
      <w:bookmarkStart w:id="21" w:name="_Toc19667"/>
      <w:bookmarkStart w:id="22" w:name="_Toc19770"/>
      <w:r>
        <w:rPr>
          <w:rFonts w:hint="eastAsia" w:ascii="黑体" w:hAnsi="黑体" w:eastAsia="黑体" w:cs="黑体"/>
          <w:b w:val="0"/>
          <w:bCs w:val="0"/>
          <w:kern w:val="2"/>
          <w:sz w:val="32"/>
          <w:szCs w:val="32"/>
          <w:lang w:val="en-US" w:eastAsia="zh-CN" w:bidi="ar-SA"/>
        </w:rPr>
        <w:t>1.建设原则</w:t>
      </w:r>
      <w:bookmarkEnd w:id="19"/>
      <w:bookmarkEnd w:id="20"/>
      <w:bookmarkEnd w:id="21"/>
      <w:bookmarkEnd w:id="22"/>
    </w:p>
    <w:p w14:paraId="002DF730">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bookmarkStart w:id="23" w:name="_Toc30937"/>
      <w:bookmarkStart w:id="24" w:name="_Toc23605"/>
      <w:r>
        <w:rPr>
          <w:rFonts w:hint="eastAsia" w:ascii="仿宋_GB2312" w:hAnsi="仿宋_GB2312" w:eastAsia="仿宋_GB2312" w:cs="仿宋_GB2312"/>
          <w:b w:val="0"/>
          <w:bCs w:val="0"/>
          <w:kern w:val="2"/>
          <w:sz w:val="32"/>
          <w:szCs w:val="32"/>
          <w:lang w:val="en-US" w:eastAsia="zh-CN" w:bidi="ar-SA"/>
        </w:rPr>
        <w:t>合理性原则：为了保证整个系统从设备配置到系统构成的合理性，系统设计根据实际状况和建设扩容具体要求，充分满足用户在使用中的各项功能要求。</w:t>
      </w:r>
    </w:p>
    <w:p w14:paraId="534503E9">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bookmarkStart w:id="25" w:name="_Toc327542174"/>
      <w:bookmarkStart w:id="26" w:name="_Toc352331923"/>
      <w:r>
        <w:rPr>
          <w:rFonts w:hint="eastAsia" w:ascii="仿宋_GB2312" w:hAnsi="仿宋_GB2312" w:eastAsia="仿宋_GB2312" w:cs="仿宋_GB2312"/>
          <w:b w:val="0"/>
          <w:bCs w:val="0"/>
          <w:kern w:val="2"/>
          <w:sz w:val="32"/>
          <w:szCs w:val="32"/>
          <w:lang w:val="en-US" w:eastAsia="zh-CN" w:bidi="ar-SA"/>
        </w:rPr>
        <w:t>实用性原则</w:t>
      </w:r>
      <w:bookmarkEnd w:id="25"/>
      <w:bookmarkEnd w:id="26"/>
      <w:r>
        <w:rPr>
          <w:rFonts w:hint="eastAsia" w:ascii="仿宋_GB2312" w:hAnsi="仿宋_GB2312" w:eastAsia="仿宋_GB2312" w:cs="仿宋_GB2312"/>
          <w:b w:val="0"/>
          <w:bCs w:val="0"/>
          <w:kern w:val="2"/>
          <w:sz w:val="32"/>
          <w:szCs w:val="32"/>
          <w:lang w:val="en-US" w:eastAsia="zh-CN" w:bidi="ar-SA"/>
        </w:rPr>
        <w:t>：系统的建设应以实用性为基本原则。系统功能必须满足视频存储的基本要求，硬件和软件平台界面友好、易学易用、使用方便、图像清晰；采用统一的系统标准和通信协议，使整个系统中各个子系统间能互联互控，充分发挥整个系统的功能。</w:t>
      </w:r>
    </w:p>
    <w:p w14:paraId="2E9D2546">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bookmarkStart w:id="27" w:name="_Toc352331924"/>
      <w:bookmarkStart w:id="28" w:name="_Toc327542175"/>
      <w:r>
        <w:rPr>
          <w:rFonts w:hint="eastAsia" w:ascii="仿宋_GB2312" w:hAnsi="仿宋_GB2312" w:eastAsia="仿宋_GB2312" w:cs="仿宋_GB2312"/>
          <w:b w:val="0"/>
          <w:bCs w:val="0"/>
          <w:kern w:val="2"/>
          <w:sz w:val="32"/>
          <w:szCs w:val="32"/>
          <w:lang w:val="en-US" w:eastAsia="zh-CN" w:bidi="ar-SA"/>
        </w:rPr>
        <w:t>可靠性原则</w:t>
      </w:r>
      <w:bookmarkEnd w:id="27"/>
      <w:bookmarkEnd w:id="28"/>
      <w:r>
        <w:rPr>
          <w:rFonts w:hint="eastAsia" w:ascii="仿宋_GB2312" w:hAnsi="仿宋_GB2312" w:eastAsia="仿宋_GB2312" w:cs="仿宋_GB2312"/>
          <w:b w:val="0"/>
          <w:bCs w:val="0"/>
          <w:kern w:val="2"/>
          <w:sz w:val="32"/>
          <w:szCs w:val="32"/>
          <w:lang w:val="en-US" w:eastAsia="zh-CN" w:bidi="ar-SA"/>
        </w:rPr>
        <w:t>：保证安防监控系统安全、正确地完成相应功能，保证系统的完整性、正确性和可恢复性，系统的不稳定因素要从硬件、软件系统协同运行中给予充分的防止。如有发生也应做到可即时地恢复。</w:t>
      </w:r>
    </w:p>
    <w:p w14:paraId="2F8FB5EC">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安全性原则：系统设计时应考虑多级安全防范措施，包括加密传输、身份认证等多种方法组合防护，根据不同的需要进行不同的安全等级设计，最大程度地保护系统的自身安全。</w:t>
      </w:r>
    </w:p>
    <w:p w14:paraId="31A38078">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29" w:name="_Toc130732400"/>
      <w:bookmarkStart w:id="30" w:name="_Toc14807"/>
      <w:r>
        <w:rPr>
          <w:rFonts w:hint="eastAsia" w:ascii="黑体" w:hAnsi="黑体" w:eastAsia="黑体" w:cs="黑体"/>
          <w:b w:val="0"/>
          <w:bCs w:val="0"/>
          <w:kern w:val="2"/>
          <w:sz w:val="32"/>
          <w:szCs w:val="32"/>
          <w:lang w:val="en-US" w:eastAsia="zh-CN" w:bidi="ar-SA"/>
        </w:rPr>
        <w:t>2.设计依据</w:t>
      </w:r>
      <w:bookmarkEnd w:id="23"/>
      <w:bookmarkEnd w:id="24"/>
      <w:bookmarkEnd w:id="29"/>
      <w:bookmarkEnd w:id="30"/>
    </w:p>
    <w:p w14:paraId="7533309B">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bookmarkStart w:id="31" w:name="_Toc16934"/>
      <w:bookmarkStart w:id="32" w:name="_Toc27242"/>
      <w:r>
        <w:rPr>
          <w:rFonts w:hint="eastAsia" w:ascii="仿宋_GB2312" w:hAnsi="仿宋_GB2312" w:eastAsia="仿宋_GB2312" w:cs="仿宋_GB2312"/>
          <w:b w:val="0"/>
          <w:bCs w:val="0"/>
          <w:kern w:val="2"/>
          <w:sz w:val="32"/>
          <w:szCs w:val="32"/>
          <w:lang w:val="en-US" w:eastAsia="zh-CN" w:bidi="ar-SA"/>
        </w:rPr>
        <w:t>《智能建筑设计标准》GB/T50314—2015</w:t>
      </w:r>
    </w:p>
    <w:p w14:paraId="6C2061F9">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《安全防范工程技术规范》GB 50348-2004</w:t>
      </w:r>
    </w:p>
    <w:p w14:paraId="61842C2A">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安全防范视频监控联网系统信息传输、交换、控制技术要求》GBT 28181</w:t>
      </w:r>
    </w:p>
    <w:p w14:paraId="3C8F1221">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《安全防范系统验收规则》（GA/308-2001）</w:t>
      </w:r>
    </w:p>
    <w:p w14:paraId="1B74DB15">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 xml:space="preserve">《视频安防监控系统工程设计规范》GB50395—2007 </w:t>
      </w:r>
    </w:p>
    <w:p w14:paraId="767BA011">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《视频安防监控系统技术要求》（GA/T 367-2001）</w:t>
      </w:r>
    </w:p>
    <w:p w14:paraId="1C63D6F4">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33" w:name="_Toc130732401"/>
      <w:bookmarkStart w:id="34" w:name="_Toc9346"/>
      <w:r>
        <w:rPr>
          <w:rFonts w:hint="eastAsia" w:ascii="黑体" w:hAnsi="黑体" w:eastAsia="黑体" w:cs="黑体"/>
          <w:b w:val="0"/>
          <w:bCs w:val="0"/>
          <w:kern w:val="2"/>
          <w:sz w:val="32"/>
          <w:szCs w:val="32"/>
          <w:lang w:val="en-US" w:eastAsia="zh-CN" w:bidi="ar-SA"/>
        </w:rPr>
        <w:t>3、设计标准</w:t>
      </w:r>
      <w:bookmarkEnd w:id="31"/>
      <w:bookmarkEnd w:id="32"/>
      <w:bookmarkEnd w:id="33"/>
      <w:bookmarkEnd w:id="34"/>
    </w:p>
    <w:p w14:paraId="69C2F9E2">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存储设备的选用应符合运行可靠、经济适用、节能和环保的要求。</w:t>
      </w:r>
    </w:p>
    <w:p w14:paraId="615DC2C7">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存储设备应根据数据中心的等级、气候条件、建筑条件等进行选择。</w:t>
      </w:r>
    </w:p>
    <w:p w14:paraId="37443126">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default"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存储设备应安装于42U标准网络设备机柜，符合安装空间和承重要求</w:t>
      </w:r>
      <w:bookmarkStart w:id="35" w:name="_Toc15154"/>
      <w:bookmarkStart w:id="36" w:name="_Toc5293"/>
      <w:bookmarkStart w:id="37" w:name="_Toc12020"/>
      <w:bookmarkStart w:id="38" w:name="_Toc130732402"/>
      <w:r>
        <w:rPr>
          <w:rFonts w:hint="eastAsia" w:ascii="仿宋_GB2312" w:hAnsi="仿宋_GB2312" w:eastAsia="仿宋_GB2312" w:cs="仿宋_GB2312"/>
          <w:b w:val="0"/>
          <w:bCs w:val="0"/>
          <w:kern w:val="2"/>
          <w:sz w:val="32"/>
          <w:szCs w:val="32"/>
          <w:lang w:val="en-US" w:eastAsia="zh-CN" w:bidi="ar-SA"/>
        </w:rPr>
        <w:t>。</w:t>
      </w:r>
    </w:p>
    <w:p w14:paraId="57009CCA">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黑体" w:hAnsi="黑体" w:eastAsia="黑体" w:cs="黑体"/>
          <w:b w:val="0"/>
          <w:bCs w:val="0"/>
          <w:kern w:val="2"/>
          <w:sz w:val="32"/>
          <w:szCs w:val="32"/>
          <w:lang w:val="en-US" w:eastAsia="zh-CN" w:bidi="ar-SA"/>
        </w:rPr>
      </w:pPr>
      <w:bookmarkStart w:id="39" w:name="_Toc582"/>
      <w:r>
        <w:rPr>
          <w:rFonts w:hint="eastAsia" w:ascii="黑体" w:hAnsi="黑体" w:eastAsia="黑体" w:cs="黑体"/>
          <w:b w:val="0"/>
          <w:bCs w:val="0"/>
          <w:kern w:val="2"/>
          <w:sz w:val="32"/>
          <w:szCs w:val="32"/>
          <w:lang w:val="en-US" w:eastAsia="zh-CN" w:bidi="ar-SA"/>
        </w:rPr>
        <w:t>八、建设内容</w:t>
      </w:r>
      <w:bookmarkEnd w:id="35"/>
      <w:bookmarkEnd w:id="36"/>
      <w:bookmarkEnd w:id="37"/>
      <w:r>
        <w:rPr>
          <w:rFonts w:hint="eastAsia" w:ascii="黑体" w:hAnsi="黑体" w:eastAsia="黑体" w:cs="黑体"/>
          <w:b w:val="0"/>
          <w:bCs w:val="0"/>
          <w:kern w:val="2"/>
          <w:sz w:val="32"/>
          <w:szCs w:val="32"/>
          <w:lang w:val="en-US" w:eastAsia="zh-CN" w:bidi="ar-SA"/>
        </w:rPr>
        <w:t>及设计方案</w:t>
      </w:r>
      <w:bookmarkEnd w:id="38"/>
      <w:bookmarkEnd w:id="39"/>
      <w:bookmarkStart w:id="40" w:name="_Hlk70436063"/>
    </w:p>
    <w:bookmarkEnd w:id="40"/>
    <w:p w14:paraId="698599D2">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bookmarkStart w:id="41" w:name="_Toc15828"/>
      <w:r>
        <w:rPr>
          <w:rFonts w:hint="eastAsia" w:ascii="仿宋_GB2312" w:hAnsi="仿宋_GB2312" w:eastAsia="仿宋_GB2312" w:cs="仿宋_GB2312"/>
          <w:b w:val="0"/>
          <w:bCs w:val="0"/>
          <w:kern w:val="2"/>
          <w:sz w:val="32"/>
          <w:szCs w:val="32"/>
          <w:lang w:val="en-US" w:eastAsia="zh-CN" w:bidi="ar-SA"/>
        </w:rPr>
        <w:t>前端设备新增设计内容</w:t>
      </w:r>
      <w:bookmarkEnd w:id="41"/>
      <w:r>
        <w:rPr>
          <w:rFonts w:hint="eastAsia" w:ascii="仿宋_GB2312" w:hAnsi="仿宋_GB2312" w:eastAsia="仿宋_GB2312" w:cs="仿宋_GB2312"/>
          <w:b w:val="0"/>
          <w:bCs w:val="0"/>
          <w:kern w:val="2"/>
          <w:sz w:val="32"/>
          <w:szCs w:val="32"/>
          <w:lang w:val="en-US" w:eastAsia="zh-CN" w:bidi="ar-SA"/>
        </w:rPr>
        <w:t>新增500W像素摄像机补充监控盲区及无监控场所。具体设备明细如下：</w:t>
      </w:r>
    </w:p>
    <w:p w14:paraId="5BA23544">
      <w:pPr>
        <w:pStyle w:val="23"/>
        <w:spacing w:before="0" w:after="0"/>
        <w:ind w:firstLine="0"/>
        <w:rPr>
          <w:rFonts w:ascii="宋体" w:hAnsi="宋体"/>
        </w:rPr>
      </w:pPr>
    </w:p>
    <w:tbl>
      <w:tblPr>
        <w:tblStyle w:val="15"/>
        <w:tblW w:w="5000" w:type="pct"/>
        <w:tblInd w:w="0" w:type="dxa"/>
        <w:tblLayout w:type="autofit"/>
        <w:tblCellMar>
          <w:top w:w="0" w:type="dxa"/>
          <w:left w:w="108" w:type="dxa"/>
          <w:bottom w:w="0" w:type="dxa"/>
          <w:right w:w="108" w:type="dxa"/>
        </w:tblCellMar>
      </w:tblPr>
      <w:tblGrid>
        <w:gridCol w:w="658"/>
        <w:gridCol w:w="1230"/>
        <w:gridCol w:w="4418"/>
        <w:gridCol w:w="658"/>
        <w:gridCol w:w="659"/>
        <w:gridCol w:w="1439"/>
      </w:tblGrid>
      <w:tr w14:paraId="2E1D8274">
        <w:tblPrEx>
          <w:tblCellMar>
            <w:top w:w="0" w:type="dxa"/>
            <w:left w:w="108" w:type="dxa"/>
            <w:bottom w:w="0" w:type="dxa"/>
            <w:right w:w="108" w:type="dxa"/>
          </w:tblCellMar>
        </w:tblPrEx>
        <w:trPr>
          <w:trHeight w:val="300" w:hRule="atLeast"/>
        </w:trPr>
        <w:tc>
          <w:tcPr>
            <w:tcW w:w="272" w:type="pct"/>
            <w:tcBorders>
              <w:top w:val="single" w:color="auto" w:sz="4" w:space="0"/>
              <w:left w:val="single" w:color="auto" w:sz="4" w:space="0"/>
              <w:bottom w:val="single" w:color="auto" w:sz="4" w:space="0"/>
              <w:right w:val="single" w:color="auto" w:sz="4" w:space="0"/>
            </w:tcBorders>
            <w:noWrap/>
            <w:vAlign w:val="center"/>
          </w:tcPr>
          <w:p w14:paraId="2427B2D2">
            <w:pPr>
              <w:widowControl/>
              <w:spacing w:line="240" w:lineRule="auto"/>
              <w:ind w:firstLine="0" w:firstLineChars="0"/>
              <w:jc w:val="center"/>
              <w:rPr>
                <w:rFonts w:ascii="宋体" w:hAnsi="宋体" w:eastAsia="宋体" w:cs="宋体"/>
                <w:b/>
                <w:bCs/>
                <w:kern w:val="0"/>
                <w:sz w:val="22"/>
                <w:szCs w:val="22"/>
              </w:rPr>
            </w:pPr>
            <w:r>
              <w:rPr>
                <w:rFonts w:hint="eastAsia" w:ascii="宋体" w:hAnsi="宋体" w:eastAsia="宋体" w:cs="宋体"/>
                <w:b/>
                <w:bCs/>
                <w:kern w:val="0"/>
                <w:sz w:val="22"/>
                <w:szCs w:val="22"/>
              </w:rPr>
              <w:t>序号</w:t>
            </w:r>
          </w:p>
        </w:tc>
        <w:tc>
          <w:tcPr>
            <w:tcW w:w="708" w:type="pct"/>
            <w:tcBorders>
              <w:top w:val="single" w:color="auto" w:sz="4" w:space="0"/>
              <w:left w:val="nil"/>
              <w:bottom w:val="single" w:color="auto" w:sz="4" w:space="0"/>
              <w:right w:val="single" w:color="auto" w:sz="4" w:space="0"/>
            </w:tcBorders>
            <w:noWrap w:val="0"/>
            <w:vAlign w:val="center"/>
          </w:tcPr>
          <w:p w14:paraId="12B8F9D1">
            <w:pPr>
              <w:widowControl/>
              <w:spacing w:line="240" w:lineRule="auto"/>
              <w:ind w:firstLine="0" w:firstLineChars="0"/>
              <w:jc w:val="center"/>
              <w:rPr>
                <w:rFonts w:hint="eastAsia" w:ascii="宋体" w:hAnsi="宋体" w:eastAsia="宋体" w:cs="宋体"/>
                <w:b/>
                <w:bCs/>
                <w:kern w:val="0"/>
                <w:sz w:val="22"/>
                <w:szCs w:val="22"/>
              </w:rPr>
            </w:pPr>
            <w:r>
              <w:rPr>
                <w:rFonts w:hint="eastAsia" w:ascii="宋体" w:hAnsi="宋体" w:eastAsia="宋体" w:cs="宋体"/>
                <w:b/>
                <w:bCs/>
                <w:kern w:val="0"/>
                <w:sz w:val="22"/>
                <w:szCs w:val="22"/>
              </w:rPr>
              <w:t>设备</w:t>
            </w:r>
          </w:p>
        </w:tc>
        <w:tc>
          <w:tcPr>
            <w:tcW w:w="2467" w:type="pct"/>
            <w:tcBorders>
              <w:top w:val="single" w:color="auto" w:sz="4" w:space="0"/>
              <w:left w:val="nil"/>
              <w:bottom w:val="single" w:color="auto" w:sz="4" w:space="0"/>
              <w:right w:val="single" w:color="auto" w:sz="4" w:space="0"/>
            </w:tcBorders>
            <w:noWrap/>
            <w:vAlign w:val="center"/>
          </w:tcPr>
          <w:p w14:paraId="36C3FB7F">
            <w:pPr>
              <w:widowControl/>
              <w:spacing w:line="240" w:lineRule="auto"/>
              <w:ind w:firstLine="0" w:firstLineChars="0"/>
              <w:jc w:val="center"/>
              <w:rPr>
                <w:rFonts w:hint="eastAsia" w:ascii="宋体" w:hAnsi="宋体" w:eastAsia="宋体" w:cs="宋体"/>
                <w:b/>
                <w:bCs/>
                <w:kern w:val="0"/>
                <w:sz w:val="22"/>
                <w:szCs w:val="22"/>
              </w:rPr>
            </w:pPr>
            <w:r>
              <w:rPr>
                <w:rFonts w:hint="eastAsia" w:ascii="宋体" w:hAnsi="宋体" w:eastAsia="宋体" w:cs="宋体"/>
                <w:b/>
                <w:bCs/>
                <w:kern w:val="0"/>
                <w:sz w:val="22"/>
                <w:szCs w:val="22"/>
              </w:rPr>
              <w:t>参数</w:t>
            </w:r>
          </w:p>
        </w:tc>
        <w:tc>
          <w:tcPr>
            <w:tcW w:w="366" w:type="pct"/>
            <w:tcBorders>
              <w:top w:val="single" w:color="auto" w:sz="4" w:space="0"/>
              <w:left w:val="nil"/>
              <w:bottom w:val="single" w:color="auto" w:sz="4" w:space="0"/>
              <w:right w:val="single" w:color="auto" w:sz="4" w:space="0"/>
            </w:tcBorders>
            <w:noWrap/>
            <w:vAlign w:val="center"/>
          </w:tcPr>
          <w:p w14:paraId="4D055773">
            <w:pPr>
              <w:widowControl/>
              <w:spacing w:line="240" w:lineRule="auto"/>
              <w:ind w:firstLine="0" w:firstLineChars="0"/>
              <w:jc w:val="center"/>
              <w:rPr>
                <w:rFonts w:hint="eastAsia" w:ascii="宋体" w:hAnsi="宋体" w:eastAsia="宋体" w:cs="宋体"/>
                <w:b/>
                <w:bCs/>
                <w:kern w:val="0"/>
                <w:sz w:val="22"/>
                <w:szCs w:val="22"/>
              </w:rPr>
            </w:pPr>
            <w:r>
              <w:rPr>
                <w:rFonts w:hint="eastAsia" w:ascii="宋体" w:hAnsi="宋体" w:eastAsia="宋体" w:cs="宋体"/>
                <w:b/>
                <w:bCs/>
                <w:kern w:val="0"/>
                <w:sz w:val="22"/>
                <w:szCs w:val="22"/>
              </w:rPr>
              <w:t>数量</w:t>
            </w:r>
          </w:p>
        </w:tc>
        <w:tc>
          <w:tcPr>
            <w:tcW w:w="338" w:type="pct"/>
            <w:tcBorders>
              <w:top w:val="single" w:color="auto" w:sz="4" w:space="0"/>
              <w:left w:val="nil"/>
              <w:bottom w:val="single" w:color="auto" w:sz="4" w:space="0"/>
              <w:right w:val="single" w:color="auto" w:sz="4" w:space="0"/>
            </w:tcBorders>
            <w:noWrap/>
            <w:vAlign w:val="center"/>
          </w:tcPr>
          <w:p w14:paraId="290CD083">
            <w:pPr>
              <w:widowControl/>
              <w:spacing w:line="240" w:lineRule="auto"/>
              <w:ind w:firstLine="0" w:firstLineChars="0"/>
              <w:jc w:val="center"/>
              <w:rPr>
                <w:rFonts w:hint="eastAsia" w:ascii="宋体" w:hAnsi="宋体" w:eastAsia="宋体" w:cs="宋体"/>
                <w:b/>
                <w:bCs/>
                <w:kern w:val="0"/>
                <w:sz w:val="22"/>
                <w:szCs w:val="22"/>
              </w:rPr>
            </w:pPr>
            <w:r>
              <w:rPr>
                <w:rFonts w:hint="eastAsia" w:ascii="宋体" w:hAnsi="宋体" w:eastAsia="宋体" w:cs="宋体"/>
                <w:b/>
                <w:bCs/>
                <w:kern w:val="0"/>
                <w:sz w:val="22"/>
                <w:szCs w:val="22"/>
              </w:rPr>
              <w:t>单位</w:t>
            </w:r>
          </w:p>
        </w:tc>
        <w:tc>
          <w:tcPr>
            <w:tcW w:w="849" w:type="pct"/>
            <w:tcBorders>
              <w:top w:val="single" w:color="auto" w:sz="4" w:space="0"/>
              <w:left w:val="nil"/>
              <w:bottom w:val="single" w:color="auto" w:sz="4" w:space="0"/>
              <w:right w:val="single" w:color="auto" w:sz="4" w:space="0"/>
            </w:tcBorders>
            <w:noWrap/>
            <w:vAlign w:val="center"/>
          </w:tcPr>
          <w:p w14:paraId="7C6EF084">
            <w:pPr>
              <w:widowControl/>
              <w:spacing w:line="240" w:lineRule="auto"/>
              <w:ind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r>
      <w:tr w14:paraId="593C74FD">
        <w:tblPrEx>
          <w:tblCellMar>
            <w:top w:w="0" w:type="dxa"/>
            <w:left w:w="108" w:type="dxa"/>
            <w:bottom w:w="0" w:type="dxa"/>
            <w:right w:w="108" w:type="dxa"/>
          </w:tblCellMar>
        </w:tblPrEx>
        <w:trPr>
          <w:trHeight w:val="1000" w:hRule="atLeast"/>
        </w:trPr>
        <w:tc>
          <w:tcPr>
            <w:tcW w:w="272" w:type="pct"/>
            <w:tcBorders>
              <w:top w:val="nil"/>
              <w:left w:val="single" w:color="auto" w:sz="4" w:space="0"/>
              <w:bottom w:val="single" w:color="auto" w:sz="4" w:space="0"/>
              <w:right w:val="single" w:color="auto" w:sz="4" w:space="0"/>
            </w:tcBorders>
            <w:noWrap/>
            <w:vAlign w:val="center"/>
          </w:tcPr>
          <w:p w14:paraId="3C1DCB70">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1</w:t>
            </w:r>
          </w:p>
        </w:tc>
        <w:tc>
          <w:tcPr>
            <w:tcW w:w="708" w:type="pct"/>
            <w:tcBorders>
              <w:top w:val="nil"/>
              <w:left w:val="nil"/>
              <w:bottom w:val="single" w:color="auto" w:sz="4" w:space="0"/>
              <w:right w:val="single" w:color="auto" w:sz="4" w:space="0"/>
            </w:tcBorders>
            <w:noWrap w:val="0"/>
            <w:vAlign w:val="center"/>
          </w:tcPr>
          <w:p w14:paraId="757D88B9">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500万星光电动变焦红外防暴半球</w:t>
            </w:r>
          </w:p>
        </w:tc>
        <w:tc>
          <w:tcPr>
            <w:tcW w:w="2467" w:type="pct"/>
            <w:tcBorders>
              <w:top w:val="nil"/>
              <w:left w:val="nil"/>
              <w:bottom w:val="single" w:color="auto" w:sz="4" w:space="0"/>
              <w:right w:val="single" w:color="auto" w:sz="4" w:space="0"/>
            </w:tcBorders>
            <w:noWrap w:val="0"/>
            <w:vAlign w:val="center"/>
          </w:tcPr>
          <w:p w14:paraId="6969EF23">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1/2.8英寸500万像素CMOS传感器，主码流最高分辨率2880x1620@20fps</w:t>
            </w:r>
            <w:r>
              <w:rPr>
                <w:rFonts w:hint="eastAsia" w:ascii="宋体" w:hAnsi="宋体" w:eastAsia="宋体" w:cs="宋体"/>
                <w:kern w:val="0"/>
                <w:sz w:val="18"/>
                <w:szCs w:val="18"/>
              </w:rPr>
              <w:br w:type="textWrapping"/>
            </w:r>
            <w:r>
              <w:rPr>
                <w:rFonts w:hint="eastAsia" w:ascii="宋体" w:hAnsi="宋体" w:eastAsia="宋体" w:cs="宋体"/>
                <w:kern w:val="0"/>
                <w:sz w:val="18"/>
                <w:szCs w:val="18"/>
              </w:rPr>
              <w:t>2.8～12mm高清电动变焦镜头，ICR双滤切换，支持一键聚焦、镜头复位</w:t>
            </w:r>
            <w:r>
              <w:rPr>
                <w:rFonts w:hint="eastAsia" w:ascii="宋体" w:hAnsi="宋体" w:eastAsia="宋体" w:cs="宋体"/>
                <w:kern w:val="0"/>
                <w:sz w:val="18"/>
                <w:szCs w:val="18"/>
              </w:rPr>
              <w:br w:type="textWrapping"/>
            </w:r>
            <w:r>
              <w:rPr>
                <w:rFonts w:hint="eastAsia" w:ascii="宋体" w:hAnsi="宋体" w:eastAsia="宋体" w:cs="宋体"/>
                <w:kern w:val="0"/>
                <w:sz w:val="18"/>
                <w:szCs w:val="18"/>
              </w:rPr>
              <w:t>18颗红外阵列灯，30m有效红外距离</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支持强光抑制、背光补偿、透雾、视频翻转、视频参数模板、日夜转换方式、彩转黑、白平衡、AGC、宽动态、电子快门、3D数字降噪</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支持报警1入1出，音频1入1出，不支持内置扬声器</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支持周界、绊线</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支持抓拍预览、系统日志、录像回放、前端存储、视频遮挡、电子放大、镜像、视频翻转、移动侦测、遮挡报警、IP冲突报警、一键恢复、密码保护、视频遮盖、IP地址过滤、断网续传、心跳、单播</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支持HTTP ，TCP/IP ，ICMP ，FTP ，DHCP ，DNS ，DDNS ,RTSP，RTCP，NTP ，UPnP，UDP协议</w:t>
            </w:r>
            <w:r>
              <w:rPr>
                <w:rFonts w:hint="eastAsia" w:ascii="宋体" w:hAnsi="宋体" w:eastAsia="宋体" w:cs="宋体"/>
                <w:kern w:val="0"/>
                <w:sz w:val="18"/>
                <w:szCs w:val="18"/>
              </w:rPr>
              <w:br w:type="textWrapping"/>
            </w:r>
            <w:r>
              <w:rPr>
                <w:rFonts w:hint="eastAsia" w:ascii="宋体" w:hAnsi="宋体" w:eastAsia="宋体" w:cs="宋体"/>
                <w:kern w:val="0"/>
                <w:sz w:val="18"/>
                <w:szCs w:val="18"/>
              </w:rPr>
              <w:t>ONVIF Profile S/T、GB28181-2016，RTSP、CGI</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内置MIC，支持硬复位，支持TF卡（512G）</w:t>
            </w:r>
            <w:r>
              <w:rPr>
                <w:rFonts w:hint="eastAsia" w:ascii="宋体" w:hAnsi="宋体" w:eastAsia="宋体" w:cs="宋体"/>
                <w:kern w:val="0"/>
                <w:sz w:val="18"/>
                <w:szCs w:val="18"/>
              </w:rPr>
              <w:br w:type="textWrapping"/>
            </w:r>
            <w:r>
              <w:rPr>
                <w:rFonts w:hint="eastAsia" w:ascii="宋体" w:hAnsi="宋体" w:eastAsia="宋体" w:cs="宋体"/>
                <w:kern w:val="0"/>
                <w:sz w:val="18"/>
                <w:szCs w:val="18"/>
              </w:rPr>
              <w:t>IP66防护等级，4级防雷、防浪涌2KV，防暴等级IK10</w:t>
            </w:r>
            <w:r>
              <w:rPr>
                <w:rFonts w:hint="eastAsia" w:ascii="宋体" w:hAnsi="宋体" w:eastAsia="宋体" w:cs="宋体"/>
                <w:kern w:val="0"/>
                <w:sz w:val="18"/>
                <w:szCs w:val="18"/>
              </w:rPr>
              <w:br w:type="textWrapping"/>
            </w:r>
            <w:r>
              <w:rPr>
                <w:rFonts w:hint="eastAsia" w:ascii="宋体" w:hAnsi="宋体" w:eastAsia="宋体" w:cs="宋体"/>
                <w:kern w:val="0"/>
                <w:sz w:val="18"/>
                <w:szCs w:val="18"/>
              </w:rPr>
              <w:t>DC12V±25%供电，支持POE供电及POE反向供电；</w:t>
            </w:r>
          </w:p>
        </w:tc>
        <w:tc>
          <w:tcPr>
            <w:tcW w:w="366" w:type="pct"/>
            <w:tcBorders>
              <w:top w:val="nil"/>
              <w:left w:val="nil"/>
              <w:bottom w:val="single" w:color="auto" w:sz="4" w:space="0"/>
              <w:right w:val="single" w:color="auto" w:sz="4" w:space="0"/>
            </w:tcBorders>
            <w:noWrap/>
            <w:vAlign w:val="center"/>
          </w:tcPr>
          <w:p w14:paraId="4981AB74">
            <w:pPr>
              <w:widowControl/>
              <w:spacing w:line="240" w:lineRule="auto"/>
              <w:ind w:firstLine="0" w:firstLineChars="0"/>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8</w:t>
            </w:r>
          </w:p>
        </w:tc>
        <w:tc>
          <w:tcPr>
            <w:tcW w:w="338" w:type="pct"/>
            <w:tcBorders>
              <w:top w:val="nil"/>
              <w:left w:val="nil"/>
              <w:bottom w:val="single" w:color="auto" w:sz="4" w:space="0"/>
              <w:right w:val="single" w:color="auto" w:sz="4" w:space="0"/>
            </w:tcBorders>
            <w:noWrap/>
            <w:vAlign w:val="center"/>
          </w:tcPr>
          <w:p w14:paraId="279C1557">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台</w:t>
            </w:r>
          </w:p>
        </w:tc>
        <w:tc>
          <w:tcPr>
            <w:tcW w:w="849" w:type="pct"/>
            <w:tcBorders>
              <w:top w:val="nil"/>
              <w:left w:val="nil"/>
              <w:bottom w:val="single" w:color="auto" w:sz="4" w:space="0"/>
              <w:right w:val="single" w:color="auto" w:sz="4" w:space="0"/>
            </w:tcBorders>
            <w:noWrap/>
            <w:vAlign w:val="center"/>
          </w:tcPr>
          <w:p w14:paraId="1CCFDC5C">
            <w:pPr>
              <w:widowControl/>
              <w:spacing w:line="240" w:lineRule="auto"/>
              <w:ind w:firstLine="0" w:firstLineChars="0"/>
              <w:jc w:val="left"/>
              <w:rPr>
                <w:rFonts w:hint="eastAsia" w:ascii="宋体" w:hAnsi="宋体" w:eastAsia="宋体" w:cs="宋体"/>
                <w:kern w:val="0"/>
                <w:sz w:val="24"/>
                <w:szCs w:val="24"/>
              </w:rPr>
            </w:pPr>
          </w:p>
        </w:tc>
      </w:tr>
      <w:tr w14:paraId="03304456">
        <w:tblPrEx>
          <w:tblCellMar>
            <w:top w:w="0" w:type="dxa"/>
            <w:left w:w="108" w:type="dxa"/>
            <w:bottom w:w="0" w:type="dxa"/>
            <w:right w:w="108" w:type="dxa"/>
          </w:tblCellMar>
        </w:tblPrEx>
        <w:trPr>
          <w:trHeight w:val="1000" w:hRule="atLeast"/>
        </w:trPr>
        <w:tc>
          <w:tcPr>
            <w:tcW w:w="272" w:type="pct"/>
            <w:tcBorders>
              <w:top w:val="single" w:color="auto" w:sz="4" w:space="0"/>
              <w:left w:val="single" w:color="auto" w:sz="4" w:space="0"/>
              <w:bottom w:val="single" w:color="auto" w:sz="4" w:space="0"/>
              <w:right w:val="single" w:color="auto" w:sz="4" w:space="0"/>
            </w:tcBorders>
            <w:noWrap/>
            <w:vAlign w:val="center"/>
          </w:tcPr>
          <w:p w14:paraId="2261D0B8">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2</w:t>
            </w:r>
          </w:p>
        </w:tc>
        <w:tc>
          <w:tcPr>
            <w:tcW w:w="708" w:type="pct"/>
            <w:tcBorders>
              <w:top w:val="single" w:color="auto" w:sz="4" w:space="0"/>
              <w:left w:val="nil"/>
              <w:bottom w:val="single" w:color="auto" w:sz="4" w:space="0"/>
              <w:right w:val="single" w:color="auto" w:sz="4" w:space="0"/>
            </w:tcBorders>
            <w:noWrap w:val="0"/>
            <w:vAlign w:val="center"/>
          </w:tcPr>
          <w:p w14:paraId="03001D4A">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500万星光电动变焦红外一体机</w:t>
            </w:r>
          </w:p>
        </w:tc>
        <w:tc>
          <w:tcPr>
            <w:tcW w:w="2467" w:type="pct"/>
            <w:tcBorders>
              <w:top w:val="single" w:color="auto" w:sz="4" w:space="0"/>
              <w:left w:val="nil"/>
              <w:bottom w:val="single" w:color="auto" w:sz="4" w:space="0"/>
              <w:right w:val="single" w:color="auto" w:sz="4" w:space="0"/>
            </w:tcBorders>
            <w:noWrap w:val="0"/>
            <w:vAlign w:val="center"/>
          </w:tcPr>
          <w:p w14:paraId="198097DE">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1/2.8英寸500万像素CMOS传感器，主码流最高分辨率2880x1620@20fps</w:t>
            </w:r>
            <w:r>
              <w:rPr>
                <w:rFonts w:hint="eastAsia" w:ascii="宋体" w:hAnsi="宋体" w:eastAsia="宋体" w:cs="宋体"/>
                <w:kern w:val="0"/>
                <w:sz w:val="18"/>
                <w:szCs w:val="18"/>
              </w:rPr>
              <w:br w:type="textWrapping"/>
            </w:r>
            <w:r>
              <w:rPr>
                <w:rFonts w:hint="eastAsia" w:ascii="宋体" w:hAnsi="宋体" w:eastAsia="宋体" w:cs="宋体"/>
                <w:kern w:val="0"/>
                <w:sz w:val="18"/>
                <w:szCs w:val="18"/>
              </w:rPr>
              <w:t>2.8～12mm高清电动变焦镜头，ICR双滤切换，支持一键聚焦、镜头复位</w:t>
            </w:r>
            <w:r>
              <w:rPr>
                <w:rFonts w:hint="eastAsia" w:ascii="宋体" w:hAnsi="宋体" w:eastAsia="宋体" w:cs="宋体"/>
                <w:kern w:val="0"/>
                <w:sz w:val="18"/>
                <w:szCs w:val="18"/>
              </w:rPr>
              <w:br w:type="textWrapping"/>
            </w:r>
            <w:r>
              <w:rPr>
                <w:rFonts w:hint="eastAsia" w:ascii="宋体" w:hAnsi="宋体" w:eastAsia="宋体" w:cs="宋体"/>
                <w:kern w:val="0"/>
                <w:sz w:val="18"/>
                <w:szCs w:val="18"/>
              </w:rPr>
              <w:t>4颗红外灯，80m有效红外距离</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支持强光抑制、背光补偿、透雾、视频翻转、视频参数模板、日夜转换方式、彩转黑、白平衡、AGC、机械宽动态、电子快门、3D数字降噪</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报警1入1出，音频1入1出</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支持周界、绊线</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支持抓拍预览、系统日志、录像回放、前端存储、视频遮挡、电子放大、镜像、视频翻转、移动侦测、遮挡报警、IP冲突报警、一键恢复、密码保护、视频遮盖、IP地址过滤、断网续传、心跳、单播</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支持HTTP ，TCP/IP ，ICMP ，FTP ，DHCP ，DNS ，DDNS ,RTSP，RTCP，NTP ，UPnP，UDP协议</w:t>
            </w:r>
            <w:r>
              <w:rPr>
                <w:rFonts w:hint="eastAsia" w:ascii="宋体" w:hAnsi="宋体" w:eastAsia="宋体" w:cs="宋体"/>
                <w:kern w:val="0"/>
                <w:sz w:val="18"/>
                <w:szCs w:val="18"/>
              </w:rPr>
              <w:br w:type="textWrapping"/>
            </w:r>
            <w:r>
              <w:rPr>
                <w:rFonts w:hint="eastAsia" w:ascii="宋体" w:hAnsi="宋体" w:eastAsia="宋体" w:cs="宋体"/>
                <w:kern w:val="0"/>
                <w:sz w:val="18"/>
                <w:szCs w:val="18"/>
              </w:rPr>
              <w:t>ONVIF Profile S/T、GB28181-2016，RTSP、CGI</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内置MIC，支持硬复位，支持TF卡（512G）</w:t>
            </w:r>
            <w:r>
              <w:rPr>
                <w:rFonts w:hint="eastAsia" w:ascii="宋体" w:hAnsi="宋体" w:eastAsia="宋体" w:cs="宋体"/>
                <w:kern w:val="0"/>
                <w:sz w:val="18"/>
                <w:szCs w:val="18"/>
              </w:rPr>
              <w:br w:type="textWrapping"/>
            </w:r>
            <w:r>
              <w:rPr>
                <w:rFonts w:hint="eastAsia" w:ascii="宋体" w:hAnsi="宋体" w:eastAsia="宋体" w:cs="宋体"/>
                <w:kern w:val="0"/>
                <w:sz w:val="18"/>
                <w:szCs w:val="18"/>
              </w:rPr>
              <w:t>IP67防护等级，4级防雷、防浪涌2KV</w:t>
            </w:r>
            <w:r>
              <w:rPr>
                <w:rFonts w:hint="eastAsia" w:ascii="宋体" w:hAnsi="宋体" w:eastAsia="宋体" w:cs="宋体"/>
                <w:kern w:val="0"/>
                <w:sz w:val="18"/>
                <w:szCs w:val="18"/>
              </w:rPr>
              <w:br w:type="textWrapping"/>
            </w:r>
            <w:r>
              <w:rPr>
                <w:rFonts w:hint="eastAsia" w:ascii="宋体" w:hAnsi="宋体" w:eastAsia="宋体" w:cs="宋体"/>
                <w:kern w:val="0"/>
                <w:sz w:val="18"/>
                <w:szCs w:val="18"/>
              </w:rPr>
              <w:t>DC12V±25%供电，支持POE供电及POE反向供电；</w:t>
            </w:r>
          </w:p>
        </w:tc>
        <w:tc>
          <w:tcPr>
            <w:tcW w:w="366" w:type="pct"/>
            <w:tcBorders>
              <w:top w:val="single" w:color="auto" w:sz="4" w:space="0"/>
              <w:left w:val="nil"/>
              <w:bottom w:val="single" w:color="auto" w:sz="4" w:space="0"/>
              <w:right w:val="single" w:color="auto" w:sz="4" w:space="0"/>
            </w:tcBorders>
            <w:noWrap/>
            <w:vAlign w:val="center"/>
          </w:tcPr>
          <w:p w14:paraId="57476B29">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rPr>
              <w:t>1</w:t>
            </w:r>
            <w:r>
              <w:rPr>
                <w:rFonts w:hint="eastAsia" w:ascii="宋体" w:hAnsi="宋体" w:eastAsia="宋体" w:cs="宋体"/>
                <w:kern w:val="0"/>
                <w:sz w:val="18"/>
                <w:szCs w:val="18"/>
                <w:lang w:val="en-US" w:eastAsia="zh-CN"/>
              </w:rPr>
              <w:t>11</w:t>
            </w:r>
          </w:p>
        </w:tc>
        <w:tc>
          <w:tcPr>
            <w:tcW w:w="338" w:type="pct"/>
            <w:tcBorders>
              <w:top w:val="single" w:color="auto" w:sz="4" w:space="0"/>
              <w:left w:val="nil"/>
              <w:bottom w:val="single" w:color="auto" w:sz="4" w:space="0"/>
              <w:right w:val="single" w:color="auto" w:sz="4" w:space="0"/>
            </w:tcBorders>
            <w:noWrap/>
            <w:vAlign w:val="center"/>
          </w:tcPr>
          <w:p w14:paraId="47D39FBD">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台</w:t>
            </w:r>
          </w:p>
        </w:tc>
        <w:tc>
          <w:tcPr>
            <w:tcW w:w="849" w:type="pct"/>
            <w:tcBorders>
              <w:top w:val="single" w:color="auto" w:sz="4" w:space="0"/>
              <w:left w:val="nil"/>
              <w:bottom w:val="single" w:color="auto" w:sz="4" w:space="0"/>
              <w:right w:val="single" w:color="auto" w:sz="4" w:space="0"/>
            </w:tcBorders>
            <w:noWrap/>
            <w:vAlign w:val="center"/>
          </w:tcPr>
          <w:p w14:paraId="396C3DE6">
            <w:pPr>
              <w:widowControl/>
              <w:spacing w:line="240" w:lineRule="auto"/>
              <w:ind w:firstLine="0" w:firstLineChars="0"/>
              <w:jc w:val="left"/>
              <w:rPr>
                <w:rFonts w:hint="eastAsia" w:ascii="宋体" w:hAnsi="宋体" w:eastAsia="宋体" w:cs="宋体"/>
                <w:kern w:val="0"/>
                <w:sz w:val="24"/>
                <w:szCs w:val="24"/>
              </w:rPr>
            </w:pPr>
          </w:p>
        </w:tc>
      </w:tr>
      <w:tr w14:paraId="4C6FABB9">
        <w:tblPrEx>
          <w:tblCellMar>
            <w:top w:w="0" w:type="dxa"/>
            <w:left w:w="108" w:type="dxa"/>
            <w:bottom w:w="0" w:type="dxa"/>
            <w:right w:w="108" w:type="dxa"/>
          </w:tblCellMar>
        </w:tblPrEx>
        <w:trPr>
          <w:trHeight w:val="1000" w:hRule="atLeast"/>
        </w:trPr>
        <w:tc>
          <w:tcPr>
            <w:tcW w:w="272" w:type="pct"/>
            <w:tcBorders>
              <w:top w:val="single" w:color="auto" w:sz="4" w:space="0"/>
              <w:left w:val="single" w:color="auto" w:sz="4" w:space="0"/>
              <w:bottom w:val="single" w:color="auto" w:sz="4" w:space="0"/>
              <w:right w:val="single" w:color="auto" w:sz="4" w:space="0"/>
            </w:tcBorders>
            <w:noWrap/>
            <w:vAlign w:val="center"/>
          </w:tcPr>
          <w:p w14:paraId="38A7C12F">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3</w:t>
            </w:r>
          </w:p>
        </w:tc>
        <w:tc>
          <w:tcPr>
            <w:tcW w:w="708" w:type="pct"/>
            <w:tcBorders>
              <w:top w:val="single" w:color="auto" w:sz="4" w:space="0"/>
              <w:left w:val="nil"/>
              <w:bottom w:val="single" w:color="auto" w:sz="4" w:space="0"/>
              <w:right w:val="single" w:color="auto" w:sz="4" w:space="0"/>
            </w:tcBorders>
            <w:noWrap w:val="0"/>
            <w:vAlign w:val="center"/>
          </w:tcPr>
          <w:p w14:paraId="7E5106AF">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枪机支架</w:t>
            </w:r>
          </w:p>
        </w:tc>
        <w:tc>
          <w:tcPr>
            <w:tcW w:w="2467" w:type="pct"/>
            <w:tcBorders>
              <w:top w:val="single" w:color="auto" w:sz="4" w:space="0"/>
              <w:left w:val="nil"/>
              <w:bottom w:val="single" w:color="auto" w:sz="4" w:space="0"/>
              <w:right w:val="single" w:color="auto" w:sz="4" w:space="0"/>
            </w:tcBorders>
            <w:noWrap w:val="0"/>
            <w:vAlign w:val="center"/>
          </w:tcPr>
          <w:p w14:paraId="1530A9B9">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枪式摄像机壁装支架</w:t>
            </w:r>
          </w:p>
        </w:tc>
        <w:tc>
          <w:tcPr>
            <w:tcW w:w="366" w:type="pct"/>
            <w:tcBorders>
              <w:top w:val="single" w:color="auto" w:sz="4" w:space="0"/>
              <w:left w:val="nil"/>
              <w:bottom w:val="single" w:color="auto" w:sz="4" w:space="0"/>
              <w:right w:val="single" w:color="auto" w:sz="4" w:space="0"/>
            </w:tcBorders>
            <w:noWrap/>
            <w:vAlign w:val="center"/>
          </w:tcPr>
          <w:p w14:paraId="36B9AF87">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111</w:t>
            </w:r>
          </w:p>
        </w:tc>
        <w:tc>
          <w:tcPr>
            <w:tcW w:w="338" w:type="pct"/>
            <w:tcBorders>
              <w:top w:val="single" w:color="auto" w:sz="4" w:space="0"/>
              <w:left w:val="nil"/>
              <w:bottom w:val="single" w:color="auto" w:sz="4" w:space="0"/>
              <w:right w:val="single" w:color="auto" w:sz="4" w:space="0"/>
            </w:tcBorders>
            <w:noWrap/>
            <w:vAlign w:val="center"/>
          </w:tcPr>
          <w:p w14:paraId="3D70476A">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个</w:t>
            </w:r>
          </w:p>
        </w:tc>
        <w:tc>
          <w:tcPr>
            <w:tcW w:w="849" w:type="pct"/>
            <w:tcBorders>
              <w:top w:val="single" w:color="auto" w:sz="4" w:space="0"/>
              <w:left w:val="nil"/>
              <w:bottom w:val="single" w:color="auto" w:sz="4" w:space="0"/>
              <w:right w:val="single" w:color="auto" w:sz="4" w:space="0"/>
            </w:tcBorders>
            <w:noWrap/>
            <w:vAlign w:val="center"/>
          </w:tcPr>
          <w:p w14:paraId="3DF66ABA">
            <w:pPr>
              <w:widowControl/>
              <w:spacing w:line="240" w:lineRule="auto"/>
              <w:ind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r>
      <w:tr w14:paraId="02461629">
        <w:tblPrEx>
          <w:tblCellMar>
            <w:top w:w="0" w:type="dxa"/>
            <w:left w:w="108" w:type="dxa"/>
            <w:bottom w:w="0" w:type="dxa"/>
            <w:right w:w="108" w:type="dxa"/>
          </w:tblCellMar>
        </w:tblPrEx>
        <w:trPr>
          <w:trHeight w:val="1000" w:hRule="atLeast"/>
        </w:trPr>
        <w:tc>
          <w:tcPr>
            <w:tcW w:w="272" w:type="pct"/>
            <w:tcBorders>
              <w:top w:val="single" w:color="auto" w:sz="4" w:space="0"/>
              <w:left w:val="single" w:color="auto" w:sz="4" w:space="0"/>
              <w:bottom w:val="single" w:color="auto" w:sz="4" w:space="0"/>
              <w:right w:val="single" w:color="auto" w:sz="4" w:space="0"/>
            </w:tcBorders>
            <w:noWrap/>
            <w:vAlign w:val="center"/>
          </w:tcPr>
          <w:p w14:paraId="447CA46F">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4</w:t>
            </w:r>
          </w:p>
        </w:tc>
        <w:tc>
          <w:tcPr>
            <w:tcW w:w="708" w:type="pct"/>
            <w:tcBorders>
              <w:top w:val="single" w:color="auto" w:sz="4" w:space="0"/>
              <w:left w:val="nil"/>
              <w:bottom w:val="single" w:color="auto" w:sz="4" w:space="0"/>
              <w:right w:val="single" w:color="auto" w:sz="4" w:space="0"/>
            </w:tcBorders>
            <w:noWrap w:val="0"/>
            <w:vAlign w:val="center"/>
          </w:tcPr>
          <w:p w14:paraId="58A50CEA">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600万25倍极昼全光谱警戒全景枪球</w:t>
            </w:r>
          </w:p>
        </w:tc>
        <w:tc>
          <w:tcPr>
            <w:tcW w:w="2467" w:type="pct"/>
            <w:tcBorders>
              <w:top w:val="single" w:color="auto" w:sz="4" w:space="0"/>
              <w:left w:val="single" w:color="auto" w:sz="4" w:space="0"/>
              <w:bottom w:val="single" w:color="auto" w:sz="4" w:space="0"/>
              <w:right w:val="single" w:color="auto" w:sz="4" w:space="0"/>
            </w:tcBorders>
            <w:noWrap w:val="0"/>
            <w:vAlign w:val="center"/>
          </w:tcPr>
          <w:p w14:paraId="64DB279F">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全景通道双1/1.8"CMOS传感器，双2.8mm高清镜头</w:t>
            </w:r>
          </w:p>
          <w:p w14:paraId="2EEC0A57">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全景通道支持自动拼接，水平视场角190°±10°，垂直视场角75°±10°，画幅比25:10</w:t>
            </w:r>
          </w:p>
          <w:p w14:paraId="1EEAC261">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全景通道600万像素（3840×1568，25fps）， 细节通道400万像素（2560×1440，25fps）</w:t>
            </w:r>
          </w:p>
          <w:p w14:paraId="251B1F49">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细节：10红外灯补光120米，4颗白光灯补光30米，全景：3颗白光补光30米</w:t>
            </w:r>
          </w:p>
          <w:p w14:paraId="119432E1">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最低照度，细节：Color:0.003Lux，全景：Color:0.002Lux</w:t>
            </w:r>
          </w:p>
          <w:p w14:paraId="5742766B">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全景通道：智能监控；细节通道：智能监控/人脸抓拍</w:t>
            </w:r>
          </w:p>
          <w:p w14:paraId="0D70A286">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支持智能跟踪，全景通道：行为分析联动跟踪/手动跟踪/全景跟踪，细节通道：智能分析联动跟踪/手动跟踪</w:t>
            </w:r>
          </w:p>
          <w:p w14:paraId="555B31FA">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全景通道支持主动场景，智能图像</w:t>
            </w:r>
          </w:p>
          <w:p w14:paraId="172F4D47">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支持阿里云,默认关闭（手机APP）、onvif Profile S/T/G/M、GB28181、GAT1400-2017、CGI、RTMP（推流）、RTSP、注册中心（主动模式）、图片流、外挂最多同时开启7路1080P@25FPS ，含私有协议/onvif</w:t>
            </w:r>
          </w:p>
          <w:p w14:paraId="4EF5BA78">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支持磁盘满、无磁盘、磁盘读写错误、录像异常、IP冲突、MAC冲突、FTP服务器异常、端口输入报警、网线断（日志信息）、视频丢失报警</w:t>
            </w:r>
          </w:p>
          <w:p w14:paraId="31393A6D">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支持HTTPS、TCP/IP、ICMP、HTTPS、DHCP、DNS、DDNS、Easy DDNS、NTP、UPnP、IGMP、802.1X、QoS、IPv6、UDP、PPPOE、SSH、SSL、SNMP、单播、组播、IPv4</w:t>
            </w:r>
          </w:p>
          <w:p w14:paraId="1DBA0DEE">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支持报警联动声音警示、白光警示、录像、抓拍、PTZ、上传中心、跟踪</w:t>
            </w:r>
          </w:p>
          <w:p w14:paraId="6651DF1E">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支持周界警戒/绊线警戒，默认周界警戒；联动声音、联动白光</w:t>
            </w:r>
          </w:p>
          <w:p w14:paraId="3F2B3D3F">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支持TF卡槽，2路报警输入，1路报警输出，1个内置扬声器（功率4Ω4W），1路音频输入，1路音频输出，全景支持加热模块，细节支持风扇</w:t>
            </w:r>
          </w:p>
          <w:p w14:paraId="6AA3C26F">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IP66、4级防雷、防浪涌、3级B静电防护</w:t>
            </w:r>
          </w:p>
          <w:p w14:paraId="0E911EAC">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工作温度，-30℃~65℃，湿度小于95%(无凝结)</w:t>
            </w:r>
          </w:p>
          <w:p w14:paraId="07015A2E">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电源适应性AC24V±25%，DC24V±10%</w:t>
            </w:r>
          </w:p>
        </w:tc>
        <w:tc>
          <w:tcPr>
            <w:tcW w:w="366" w:type="pct"/>
            <w:tcBorders>
              <w:top w:val="single" w:color="auto" w:sz="4" w:space="0"/>
              <w:left w:val="nil"/>
              <w:bottom w:val="single" w:color="auto" w:sz="4" w:space="0"/>
              <w:right w:val="single" w:color="auto" w:sz="4" w:space="0"/>
            </w:tcBorders>
            <w:noWrap/>
            <w:vAlign w:val="center"/>
          </w:tcPr>
          <w:p w14:paraId="181B3EEB">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1</w:t>
            </w:r>
          </w:p>
        </w:tc>
        <w:tc>
          <w:tcPr>
            <w:tcW w:w="338" w:type="pct"/>
            <w:tcBorders>
              <w:top w:val="single" w:color="auto" w:sz="4" w:space="0"/>
              <w:left w:val="nil"/>
              <w:bottom w:val="single" w:color="auto" w:sz="4" w:space="0"/>
              <w:right w:val="single" w:color="auto" w:sz="4" w:space="0"/>
            </w:tcBorders>
            <w:noWrap/>
            <w:vAlign w:val="center"/>
          </w:tcPr>
          <w:p w14:paraId="15F6EA7D">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台</w:t>
            </w:r>
          </w:p>
        </w:tc>
        <w:tc>
          <w:tcPr>
            <w:tcW w:w="849" w:type="pct"/>
            <w:tcBorders>
              <w:top w:val="single" w:color="auto" w:sz="4" w:space="0"/>
              <w:left w:val="nil"/>
              <w:bottom w:val="single" w:color="auto" w:sz="4" w:space="0"/>
              <w:right w:val="single" w:color="auto" w:sz="4" w:space="0"/>
            </w:tcBorders>
            <w:noWrap/>
            <w:vAlign w:val="center"/>
          </w:tcPr>
          <w:p w14:paraId="6F6A31D4">
            <w:pPr>
              <w:widowControl/>
              <w:spacing w:line="240" w:lineRule="auto"/>
              <w:ind w:firstLine="0" w:firstLineChars="0"/>
              <w:jc w:val="left"/>
              <w:rPr>
                <w:rFonts w:hint="eastAsia" w:ascii="宋体" w:hAnsi="宋体" w:eastAsia="宋体" w:cs="宋体"/>
                <w:kern w:val="0"/>
                <w:sz w:val="24"/>
                <w:szCs w:val="24"/>
              </w:rPr>
            </w:pPr>
          </w:p>
          <w:p w14:paraId="6100AC89">
            <w:pPr>
              <w:widowControl/>
              <w:spacing w:line="240" w:lineRule="auto"/>
              <w:ind w:firstLine="0" w:firstLineChars="0"/>
              <w:jc w:val="left"/>
              <w:rPr>
                <w:rFonts w:hint="eastAsia" w:ascii="宋体" w:hAnsi="宋体" w:eastAsia="宋体" w:cs="宋体"/>
                <w:kern w:val="0"/>
                <w:sz w:val="24"/>
                <w:szCs w:val="24"/>
              </w:rPr>
            </w:pPr>
          </w:p>
        </w:tc>
      </w:tr>
      <w:tr w14:paraId="31F0A9B1">
        <w:tblPrEx>
          <w:tblCellMar>
            <w:top w:w="0" w:type="dxa"/>
            <w:left w:w="108" w:type="dxa"/>
            <w:bottom w:w="0" w:type="dxa"/>
            <w:right w:w="108" w:type="dxa"/>
          </w:tblCellMar>
        </w:tblPrEx>
        <w:trPr>
          <w:trHeight w:val="1000" w:hRule="atLeast"/>
        </w:trPr>
        <w:tc>
          <w:tcPr>
            <w:tcW w:w="272" w:type="pct"/>
            <w:tcBorders>
              <w:top w:val="single" w:color="auto" w:sz="4" w:space="0"/>
              <w:left w:val="single" w:color="auto" w:sz="4" w:space="0"/>
              <w:bottom w:val="single" w:color="auto" w:sz="4" w:space="0"/>
              <w:right w:val="single" w:color="auto" w:sz="4" w:space="0"/>
            </w:tcBorders>
            <w:noWrap/>
            <w:vAlign w:val="center"/>
          </w:tcPr>
          <w:p w14:paraId="1785C239">
            <w:pPr>
              <w:widowControl/>
              <w:spacing w:line="240" w:lineRule="auto"/>
              <w:ind w:firstLine="0" w:firstLineChars="0"/>
              <w:jc w:val="center"/>
              <w:rPr>
                <w:rFonts w:ascii="宋体" w:hAnsi="宋体" w:eastAsia="宋体" w:cs="宋体"/>
                <w:kern w:val="0"/>
                <w:sz w:val="18"/>
                <w:szCs w:val="18"/>
              </w:rPr>
            </w:pPr>
            <w:r>
              <w:rPr>
                <w:rFonts w:hint="eastAsia" w:ascii="宋体" w:hAnsi="宋体" w:eastAsia="宋体" w:cs="宋体"/>
                <w:kern w:val="0"/>
                <w:sz w:val="18"/>
                <w:szCs w:val="18"/>
              </w:rPr>
              <w:t>5</w:t>
            </w:r>
          </w:p>
        </w:tc>
        <w:tc>
          <w:tcPr>
            <w:tcW w:w="708" w:type="pct"/>
            <w:tcBorders>
              <w:top w:val="single" w:color="auto" w:sz="4" w:space="0"/>
              <w:left w:val="nil"/>
              <w:bottom w:val="single" w:color="auto" w:sz="4" w:space="0"/>
              <w:right w:val="single" w:color="auto" w:sz="4" w:space="0"/>
            </w:tcBorders>
            <w:noWrap w:val="0"/>
            <w:vAlign w:val="center"/>
          </w:tcPr>
          <w:p w14:paraId="569BABB2">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超星光全局球</w:t>
            </w:r>
          </w:p>
        </w:tc>
        <w:tc>
          <w:tcPr>
            <w:tcW w:w="2467" w:type="pct"/>
            <w:tcBorders>
              <w:top w:val="single" w:color="auto" w:sz="4" w:space="0"/>
              <w:left w:val="single" w:color="auto" w:sz="4" w:space="0"/>
              <w:bottom w:val="single" w:color="auto" w:sz="4" w:space="0"/>
              <w:right w:val="single" w:color="auto" w:sz="4" w:space="0"/>
            </w:tcBorders>
            <w:noWrap w:val="0"/>
            <w:vAlign w:val="center"/>
          </w:tcPr>
          <w:p w14:paraId="220715D7">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内置GPU芯片，支持深度学习算法，有效提升检测准确率</w:t>
            </w:r>
          </w:p>
          <w:p w14:paraId="09281E9B">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全景支持结构化功能，细节支持人脸抓拍功能</w:t>
            </w:r>
          </w:p>
          <w:p w14:paraId="7241FE3A">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支持人员自动检测并联动细节镜头进行快速锁定抓拍，提供满足人脸比对的图片，并进行人体人脸关联</w:t>
            </w:r>
          </w:p>
          <w:p w14:paraId="030646E7">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支持视频结构化功能：支持机动车抓拍、机动车属性提取，支持非机动车抓拍、非机动车属性提取，支持人体抓拍、人体属性提取，支持人脸抓拍、人脸属性提取</w:t>
            </w:r>
          </w:p>
          <w:p w14:paraId="02804D5A">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支持人脸抓拍；支持人脸优选抓拍；支持人脸增强；支持人脸属性提取；支持7种属性：性别，年龄，眼镜，安全帽，口罩，帽子，胡子；</w:t>
            </w:r>
          </w:p>
          <w:p w14:paraId="529A2582">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支持绊线、周界、徘徊、奔跑、物品遗留、物品丢失、车位看守、人员聚集、值岗检测、安全帽检测、热度图、虚焦检测、音频异常、视频诊断，支持人车分类报警，支持联动跟踪</w:t>
            </w:r>
          </w:p>
          <w:p w14:paraId="029859A8">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人体最远检测距离可达40米，人脸最远检测距离可达30米，车辆最远检测距离15米</w:t>
            </w:r>
          </w:p>
          <w:p w14:paraId="797747AF">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枪球一体化设计，兼顾全景与细节，达到单个产品既能看全也能看清的优势</w:t>
            </w:r>
          </w:p>
          <w:p w14:paraId="0E4A3254">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支持双云台，设备具备全景、细节两个通道且都支持远程电动调节位置，灵活布控</w:t>
            </w:r>
          </w:p>
          <w:p w14:paraId="1A5A392C">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全景相机采用定焦镜头；细节相机支持6倍光学变倍，16倍数字变倍</w:t>
            </w:r>
          </w:p>
          <w:p w14:paraId="075BEC68">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全景细节都采用500万像素1/1.8英寸CMOS传感器</w:t>
            </w:r>
          </w:p>
          <w:p w14:paraId="210916A4">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超星光级超低照度。全景相机：0.002Lux/F1.0（彩色），0.001Lux/F1.0（黑白）；细节相机：0.002Lux/F1.3（彩色），0.001Lux/F1.3（黑白）</w:t>
            </w:r>
          </w:p>
          <w:p w14:paraId="096E100F">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支持H.265、H.264 HP/MP/BP、M-JPEG编码，支持S+265</w:t>
            </w:r>
          </w:p>
          <w:p w14:paraId="1FD161DC">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全景相机内置30米白光灯补光，采用暖色调和柔化处理，夜间能正常进行人体车辆抓拍；细节相机内置120米阵列红外补光，采用倍率与红外灯功率匹配算法，能正常进行人脸抓拍</w:t>
            </w:r>
          </w:p>
          <w:p w14:paraId="6B9CA5AF">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全景相机：水平范围：0°～260°连续旋转、垂直范围：0°～30°</w:t>
            </w:r>
          </w:p>
          <w:p w14:paraId="45F74B32">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细节相机：水平范围：0°～360°，垂直范围：-16°～90°（默认-3°）</w:t>
            </w:r>
          </w:p>
          <w:p w14:paraId="4EA691A7">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内置双扬声器，双MIC，可双向语音对讲</w:t>
            </w:r>
          </w:p>
          <w:p w14:paraId="64AD42A5">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内置红蓝白警戒灯，昼夜效果明显</w:t>
            </w:r>
          </w:p>
        </w:tc>
        <w:tc>
          <w:tcPr>
            <w:tcW w:w="366" w:type="pct"/>
            <w:tcBorders>
              <w:top w:val="single" w:color="auto" w:sz="4" w:space="0"/>
              <w:left w:val="nil"/>
              <w:bottom w:val="single" w:color="auto" w:sz="4" w:space="0"/>
              <w:right w:val="single" w:color="auto" w:sz="4" w:space="0"/>
            </w:tcBorders>
            <w:noWrap/>
            <w:vAlign w:val="center"/>
          </w:tcPr>
          <w:p w14:paraId="37E30019">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1</w:t>
            </w:r>
          </w:p>
        </w:tc>
        <w:tc>
          <w:tcPr>
            <w:tcW w:w="338" w:type="pct"/>
            <w:tcBorders>
              <w:top w:val="single" w:color="auto" w:sz="4" w:space="0"/>
              <w:left w:val="nil"/>
              <w:bottom w:val="single" w:color="auto" w:sz="4" w:space="0"/>
              <w:right w:val="single" w:color="auto" w:sz="4" w:space="0"/>
            </w:tcBorders>
            <w:noWrap/>
            <w:vAlign w:val="center"/>
          </w:tcPr>
          <w:p w14:paraId="585CFF8A">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台</w:t>
            </w:r>
          </w:p>
        </w:tc>
        <w:tc>
          <w:tcPr>
            <w:tcW w:w="849" w:type="pct"/>
            <w:tcBorders>
              <w:top w:val="single" w:color="auto" w:sz="4" w:space="0"/>
              <w:left w:val="nil"/>
              <w:bottom w:val="single" w:color="auto" w:sz="4" w:space="0"/>
              <w:right w:val="single" w:color="auto" w:sz="4" w:space="0"/>
            </w:tcBorders>
            <w:noWrap/>
            <w:vAlign w:val="center"/>
          </w:tcPr>
          <w:p w14:paraId="768297A5">
            <w:pPr>
              <w:widowControl/>
              <w:spacing w:line="240" w:lineRule="auto"/>
              <w:ind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r>
    </w:tbl>
    <w:p w14:paraId="061A6433">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目前我馆现有的232路400万像素的摄像机存储90天，新增建设摄像机</w:t>
      </w:r>
      <w:r>
        <w:rPr>
          <w:rFonts w:hint="eastAsia" w:cs="仿宋_GB2312"/>
          <w:b w:val="0"/>
          <w:bCs w:val="0"/>
          <w:kern w:val="2"/>
          <w:sz w:val="32"/>
          <w:szCs w:val="32"/>
          <w:lang w:val="en-US" w:eastAsia="zh-CN" w:bidi="ar-SA"/>
        </w:rPr>
        <w:t>121</w:t>
      </w:r>
      <w:r>
        <w:rPr>
          <w:rFonts w:hint="eastAsia" w:ascii="仿宋_GB2312" w:hAnsi="仿宋_GB2312" w:eastAsia="仿宋_GB2312" w:cs="仿宋_GB2312"/>
          <w:b w:val="0"/>
          <w:bCs w:val="0"/>
          <w:kern w:val="2"/>
          <w:sz w:val="32"/>
          <w:szCs w:val="32"/>
          <w:lang w:val="en-US" w:eastAsia="zh-CN" w:bidi="ar-SA"/>
        </w:rPr>
        <w:t>路，总计3</w:t>
      </w:r>
      <w:r>
        <w:rPr>
          <w:rFonts w:hint="eastAsia" w:cs="仿宋_GB2312"/>
          <w:b w:val="0"/>
          <w:bCs w:val="0"/>
          <w:kern w:val="2"/>
          <w:sz w:val="32"/>
          <w:szCs w:val="32"/>
          <w:lang w:val="en-US" w:eastAsia="zh-CN" w:bidi="ar-SA"/>
        </w:rPr>
        <w:t>53</w:t>
      </w:r>
      <w:r>
        <w:rPr>
          <w:rFonts w:hint="eastAsia" w:ascii="仿宋_GB2312" w:hAnsi="仿宋_GB2312" w:eastAsia="仿宋_GB2312" w:cs="仿宋_GB2312"/>
          <w:b w:val="0"/>
          <w:bCs w:val="0"/>
          <w:kern w:val="2"/>
          <w:sz w:val="32"/>
          <w:szCs w:val="32"/>
          <w:lang w:val="en-US" w:eastAsia="zh-CN" w:bidi="ar-SA"/>
        </w:rPr>
        <w:t>路，需要新增16盘位10T数字硬盘录像机设备3台。</w:t>
      </w:r>
    </w:p>
    <w:p w14:paraId="1E954E01">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考虑后期前端摄像机仍然存在扩容需求，本次存储扩容考虑部分存储空间冗余，在现有存储空间的基础上扩容视频存储空间至180天。</w:t>
      </w:r>
    </w:p>
    <w:p w14:paraId="0E464BFE">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具体参数：</w:t>
      </w:r>
    </w:p>
    <w:tbl>
      <w:tblPr>
        <w:tblStyle w:val="15"/>
        <w:tblW w:w="5008" w:type="pct"/>
        <w:tblInd w:w="0" w:type="dxa"/>
        <w:tblLayout w:type="fixed"/>
        <w:tblCellMar>
          <w:top w:w="0" w:type="dxa"/>
          <w:left w:w="108" w:type="dxa"/>
          <w:bottom w:w="0" w:type="dxa"/>
          <w:right w:w="108" w:type="dxa"/>
        </w:tblCellMar>
      </w:tblPr>
      <w:tblGrid>
        <w:gridCol w:w="637"/>
        <w:gridCol w:w="819"/>
        <w:gridCol w:w="4872"/>
        <w:gridCol w:w="831"/>
        <w:gridCol w:w="690"/>
        <w:gridCol w:w="1227"/>
      </w:tblGrid>
      <w:tr w14:paraId="753305CE">
        <w:tblPrEx>
          <w:tblCellMar>
            <w:top w:w="0" w:type="dxa"/>
            <w:left w:w="108" w:type="dxa"/>
            <w:bottom w:w="0" w:type="dxa"/>
            <w:right w:w="108" w:type="dxa"/>
          </w:tblCellMar>
        </w:tblPrEx>
        <w:trPr>
          <w:trHeight w:val="300" w:hRule="atLeast"/>
        </w:trPr>
        <w:tc>
          <w:tcPr>
            <w:tcW w:w="350" w:type="pct"/>
            <w:tcBorders>
              <w:top w:val="single" w:color="auto" w:sz="4" w:space="0"/>
              <w:left w:val="single" w:color="auto" w:sz="4" w:space="0"/>
              <w:bottom w:val="single" w:color="auto" w:sz="4" w:space="0"/>
              <w:right w:val="single" w:color="auto" w:sz="4" w:space="0"/>
            </w:tcBorders>
            <w:noWrap/>
            <w:vAlign w:val="center"/>
          </w:tcPr>
          <w:p w14:paraId="12FA7740">
            <w:pPr>
              <w:widowControl/>
              <w:spacing w:line="240" w:lineRule="auto"/>
              <w:ind w:firstLine="0" w:firstLineChars="0"/>
              <w:jc w:val="center"/>
              <w:rPr>
                <w:rFonts w:ascii="宋体" w:hAnsi="宋体" w:eastAsia="宋体" w:cs="宋体"/>
                <w:b/>
                <w:bCs/>
                <w:kern w:val="0"/>
                <w:sz w:val="22"/>
                <w:szCs w:val="22"/>
              </w:rPr>
            </w:pPr>
            <w:r>
              <w:rPr>
                <w:rFonts w:hint="eastAsia" w:ascii="宋体" w:hAnsi="宋体" w:eastAsia="宋体" w:cs="宋体"/>
                <w:b/>
                <w:bCs/>
                <w:kern w:val="0"/>
                <w:sz w:val="22"/>
                <w:szCs w:val="22"/>
              </w:rPr>
              <w:t>序号</w:t>
            </w:r>
          </w:p>
        </w:tc>
        <w:tc>
          <w:tcPr>
            <w:tcW w:w="450" w:type="pct"/>
            <w:tcBorders>
              <w:top w:val="single" w:color="auto" w:sz="4" w:space="0"/>
              <w:left w:val="nil"/>
              <w:bottom w:val="single" w:color="auto" w:sz="4" w:space="0"/>
              <w:right w:val="single" w:color="auto" w:sz="4" w:space="0"/>
            </w:tcBorders>
            <w:noWrap w:val="0"/>
            <w:vAlign w:val="center"/>
          </w:tcPr>
          <w:p w14:paraId="440911E8">
            <w:pPr>
              <w:widowControl/>
              <w:spacing w:line="240" w:lineRule="auto"/>
              <w:ind w:firstLine="0" w:firstLineChars="0"/>
              <w:jc w:val="center"/>
              <w:rPr>
                <w:rFonts w:hint="eastAsia" w:ascii="宋体" w:hAnsi="宋体" w:eastAsia="宋体" w:cs="宋体"/>
                <w:b/>
                <w:bCs/>
                <w:kern w:val="0"/>
                <w:sz w:val="22"/>
                <w:szCs w:val="22"/>
              </w:rPr>
            </w:pPr>
            <w:r>
              <w:rPr>
                <w:rFonts w:hint="eastAsia" w:ascii="宋体" w:hAnsi="宋体" w:eastAsia="宋体" w:cs="宋体"/>
                <w:b/>
                <w:bCs/>
                <w:kern w:val="0"/>
                <w:sz w:val="22"/>
                <w:szCs w:val="22"/>
              </w:rPr>
              <w:t>设备</w:t>
            </w:r>
          </w:p>
        </w:tc>
        <w:tc>
          <w:tcPr>
            <w:tcW w:w="2684" w:type="pct"/>
            <w:tcBorders>
              <w:top w:val="single" w:color="auto" w:sz="4" w:space="0"/>
              <w:left w:val="nil"/>
              <w:bottom w:val="single" w:color="auto" w:sz="4" w:space="0"/>
              <w:right w:val="single" w:color="auto" w:sz="4" w:space="0"/>
            </w:tcBorders>
            <w:noWrap/>
            <w:vAlign w:val="center"/>
          </w:tcPr>
          <w:p w14:paraId="5BD95133">
            <w:pPr>
              <w:widowControl/>
              <w:spacing w:line="240" w:lineRule="auto"/>
              <w:ind w:firstLine="0" w:firstLineChars="0"/>
              <w:jc w:val="center"/>
              <w:rPr>
                <w:rFonts w:hint="eastAsia" w:ascii="宋体" w:hAnsi="宋体" w:eastAsia="宋体" w:cs="宋体"/>
                <w:b/>
                <w:bCs/>
                <w:kern w:val="0"/>
                <w:sz w:val="22"/>
                <w:szCs w:val="22"/>
              </w:rPr>
            </w:pPr>
            <w:r>
              <w:rPr>
                <w:rFonts w:hint="eastAsia" w:ascii="宋体" w:hAnsi="宋体" w:eastAsia="宋体" w:cs="宋体"/>
                <w:b/>
                <w:bCs/>
                <w:kern w:val="0"/>
                <w:sz w:val="22"/>
                <w:szCs w:val="22"/>
              </w:rPr>
              <w:t>参数</w:t>
            </w:r>
          </w:p>
        </w:tc>
        <w:tc>
          <w:tcPr>
            <w:tcW w:w="457" w:type="pct"/>
            <w:tcBorders>
              <w:top w:val="single" w:color="auto" w:sz="4" w:space="0"/>
              <w:left w:val="nil"/>
              <w:bottom w:val="single" w:color="auto" w:sz="4" w:space="0"/>
              <w:right w:val="single" w:color="auto" w:sz="4" w:space="0"/>
            </w:tcBorders>
            <w:noWrap/>
            <w:vAlign w:val="center"/>
          </w:tcPr>
          <w:p w14:paraId="2CCC71DF">
            <w:pPr>
              <w:widowControl/>
              <w:spacing w:line="240" w:lineRule="auto"/>
              <w:ind w:firstLine="0" w:firstLineChars="0"/>
              <w:jc w:val="center"/>
              <w:rPr>
                <w:rFonts w:hint="eastAsia" w:ascii="宋体" w:hAnsi="宋体" w:eastAsia="宋体" w:cs="宋体"/>
                <w:b/>
                <w:bCs/>
                <w:kern w:val="0"/>
                <w:sz w:val="22"/>
                <w:szCs w:val="22"/>
              </w:rPr>
            </w:pPr>
            <w:r>
              <w:rPr>
                <w:rFonts w:hint="eastAsia" w:ascii="宋体" w:hAnsi="宋体" w:eastAsia="宋体" w:cs="宋体"/>
                <w:b/>
                <w:bCs/>
                <w:kern w:val="0"/>
                <w:sz w:val="22"/>
                <w:szCs w:val="22"/>
              </w:rPr>
              <w:t>数量</w:t>
            </w:r>
          </w:p>
        </w:tc>
        <w:tc>
          <w:tcPr>
            <w:tcW w:w="379" w:type="pct"/>
            <w:tcBorders>
              <w:top w:val="single" w:color="auto" w:sz="4" w:space="0"/>
              <w:left w:val="nil"/>
              <w:bottom w:val="single" w:color="auto" w:sz="4" w:space="0"/>
              <w:right w:val="single" w:color="auto" w:sz="4" w:space="0"/>
            </w:tcBorders>
            <w:noWrap/>
            <w:vAlign w:val="center"/>
          </w:tcPr>
          <w:p w14:paraId="50983010">
            <w:pPr>
              <w:widowControl/>
              <w:spacing w:line="240" w:lineRule="auto"/>
              <w:ind w:firstLine="0" w:firstLineChars="0"/>
              <w:jc w:val="center"/>
              <w:rPr>
                <w:rFonts w:hint="eastAsia" w:ascii="宋体" w:hAnsi="宋体" w:eastAsia="宋体" w:cs="宋体"/>
                <w:b/>
                <w:bCs/>
                <w:kern w:val="0"/>
                <w:sz w:val="22"/>
                <w:szCs w:val="22"/>
              </w:rPr>
            </w:pPr>
            <w:r>
              <w:rPr>
                <w:rFonts w:hint="eastAsia" w:ascii="宋体" w:hAnsi="宋体" w:eastAsia="宋体" w:cs="宋体"/>
                <w:b/>
                <w:bCs/>
                <w:kern w:val="0"/>
                <w:sz w:val="22"/>
                <w:szCs w:val="22"/>
              </w:rPr>
              <w:t>单位</w:t>
            </w:r>
          </w:p>
        </w:tc>
        <w:tc>
          <w:tcPr>
            <w:tcW w:w="676" w:type="pct"/>
            <w:tcBorders>
              <w:top w:val="single" w:color="auto" w:sz="4" w:space="0"/>
              <w:left w:val="nil"/>
              <w:bottom w:val="single" w:color="auto" w:sz="4" w:space="0"/>
              <w:right w:val="single" w:color="auto" w:sz="4" w:space="0"/>
            </w:tcBorders>
            <w:noWrap/>
            <w:vAlign w:val="center"/>
          </w:tcPr>
          <w:p w14:paraId="1853D186">
            <w:pPr>
              <w:widowControl/>
              <w:spacing w:line="240" w:lineRule="auto"/>
              <w:ind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r>
      <w:tr w14:paraId="7B36AC6A">
        <w:tblPrEx>
          <w:tblCellMar>
            <w:top w:w="0" w:type="dxa"/>
            <w:left w:w="108" w:type="dxa"/>
            <w:bottom w:w="0" w:type="dxa"/>
            <w:right w:w="108" w:type="dxa"/>
          </w:tblCellMar>
        </w:tblPrEx>
        <w:trPr>
          <w:trHeight w:val="1000" w:hRule="atLeast"/>
        </w:trPr>
        <w:tc>
          <w:tcPr>
            <w:tcW w:w="350" w:type="pct"/>
            <w:tcBorders>
              <w:top w:val="nil"/>
              <w:left w:val="single" w:color="auto" w:sz="4" w:space="0"/>
              <w:bottom w:val="single" w:color="auto" w:sz="4" w:space="0"/>
              <w:right w:val="single" w:color="auto" w:sz="4" w:space="0"/>
            </w:tcBorders>
            <w:noWrap/>
            <w:vAlign w:val="center"/>
          </w:tcPr>
          <w:p w14:paraId="1F0DF9D8">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1</w:t>
            </w:r>
          </w:p>
        </w:tc>
        <w:tc>
          <w:tcPr>
            <w:tcW w:w="450" w:type="pct"/>
            <w:tcBorders>
              <w:top w:val="nil"/>
              <w:left w:val="nil"/>
              <w:bottom w:val="single" w:color="auto" w:sz="4" w:space="0"/>
              <w:right w:val="single" w:color="auto" w:sz="4" w:space="0"/>
            </w:tcBorders>
            <w:noWrap w:val="0"/>
            <w:vAlign w:val="center"/>
          </w:tcPr>
          <w:p w14:paraId="6A704EC3">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点位扩容授权密钥</w:t>
            </w:r>
          </w:p>
        </w:tc>
        <w:tc>
          <w:tcPr>
            <w:tcW w:w="2684" w:type="pct"/>
            <w:tcBorders>
              <w:top w:val="nil"/>
              <w:left w:val="nil"/>
              <w:bottom w:val="single" w:color="auto" w:sz="4" w:space="0"/>
              <w:right w:val="single" w:color="auto" w:sz="4" w:space="0"/>
            </w:tcBorders>
            <w:noWrap w:val="0"/>
            <w:vAlign w:val="center"/>
          </w:tcPr>
          <w:p w14:paraId="12A43FC8">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综合管理平台授权扩容</w:t>
            </w:r>
          </w:p>
        </w:tc>
        <w:tc>
          <w:tcPr>
            <w:tcW w:w="457" w:type="pct"/>
            <w:tcBorders>
              <w:top w:val="nil"/>
              <w:left w:val="nil"/>
              <w:bottom w:val="single" w:color="auto" w:sz="4" w:space="0"/>
              <w:right w:val="single" w:color="auto" w:sz="4" w:space="0"/>
            </w:tcBorders>
            <w:noWrap/>
            <w:vAlign w:val="center"/>
          </w:tcPr>
          <w:p w14:paraId="7C43FE66">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13</w:t>
            </w:r>
          </w:p>
        </w:tc>
        <w:tc>
          <w:tcPr>
            <w:tcW w:w="379" w:type="pct"/>
            <w:tcBorders>
              <w:top w:val="nil"/>
              <w:left w:val="nil"/>
              <w:bottom w:val="single" w:color="auto" w:sz="4" w:space="0"/>
              <w:right w:val="single" w:color="auto" w:sz="4" w:space="0"/>
            </w:tcBorders>
            <w:noWrap/>
            <w:vAlign w:val="center"/>
          </w:tcPr>
          <w:p w14:paraId="069EA57D">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套</w:t>
            </w:r>
          </w:p>
        </w:tc>
        <w:tc>
          <w:tcPr>
            <w:tcW w:w="676" w:type="pct"/>
            <w:tcBorders>
              <w:top w:val="nil"/>
              <w:left w:val="nil"/>
              <w:bottom w:val="single" w:color="auto" w:sz="4" w:space="0"/>
              <w:right w:val="single" w:color="auto" w:sz="4" w:space="0"/>
            </w:tcBorders>
            <w:noWrap/>
            <w:vAlign w:val="center"/>
          </w:tcPr>
          <w:p w14:paraId="091890F8">
            <w:pPr>
              <w:widowControl/>
              <w:spacing w:line="240" w:lineRule="auto"/>
              <w:ind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r>
      <w:tr w14:paraId="75107480">
        <w:tblPrEx>
          <w:tblCellMar>
            <w:top w:w="0" w:type="dxa"/>
            <w:left w:w="108" w:type="dxa"/>
            <w:bottom w:w="0" w:type="dxa"/>
            <w:right w:w="108" w:type="dxa"/>
          </w:tblCellMar>
        </w:tblPrEx>
        <w:trPr>
          <w:trHeight w:val="1000" w:hRule="atLeast"/>
        </w:trPr>
        <w:tc>
          <w:tcPr>
            <w:tcW w:w="350" w:type="pct"/>
            <w:tcBorders>
              <w:top w:val="single" w:color="auto" w:sz="4" w:space="0"/>
              <w:left w:val="single" w:color="auto" w:sz="4" w:space="0"/>
              <w:bottom w:val="single" w:color="auto" w:sz="4" w:space="0"/>
              <w:right w:val="single" w:color="auto" w:sz="4" w:space="0"/>
            </w:tcBorders>
            <w:noWrap/>
            <w:vAlign w:val="center"/>
          </w:tcPr>
          <w:p w14:paraId="6C4B5EAE">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2</w:t>
            </w:r>
          </w:p>
        </w:tc>
        <w:tc>
          <w:tcPr>
            <w:tcW w:w="450" w:type="pct"/>
            <w:tcBorders>
              <w:top w:val="single" w:color="auto" w:sz="4" w:space="0"/>
              <w:left w:val="nil"/>
              <w:bottom w:val="single" w:color="auto" w:sz="4" w:space="0"/>
              <w:right w:val="single" w:color="auto" w:sz="4" w:space="0"/>
            </w:tcBorders>
            <w:noWrap w:val="0"/>
            <w:vAlign w:val="center"/>
          </w:tcPr>
          <w:p w14:paraId="6D32B3C7">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流媒体网关服务器</w:t>
            </w:r>
          </w:p>
        </w:tc>
        <w:tc>
          <w:tcPr>
            <w:tcW w:w="2684" w:type="pct"/>
            <w:tcBorders>
              <w:top w:val="single" w:color="auto" w:sz="4" w:space="0"/>
              <w:left w:val="nil"/>
              <w:bottom w:val="single" w:color="auto" w:sz="4" w:space="0"/>
              <w:right w:val="single" w:color="auto" w:sz="4" w:space="0"/>
            </w:tcBorders>
            <w:noWrap w:val="0"/>
            <w:vAlign w:val="center"/>
          </w:tcPr>
          <w:p w14:paraId="44D0621E">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支持私有SDK、Onvif，兼容主流品牌网络视频设备，可接入IPC、NVR、解码器、网络报警主机等多种设备;</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支持移动设备的代理服务和主动注册，可接入4G单兵/车载设备的图像预览和语音对讲。</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支持平台级联服务，支持上下级平台间的信令转分发，支持跨网段/网关传输。</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可被多个上级管理平台级联访问，资源可多次共享。</w:t>
            </w:r>
            <w:r>
              <w:rPr>
                <w:rFonts w:hint="eastAsia" w:ascii="宋体" w:hAnsi="宋体" w:eastAsia="宋体" w:cs="宋体"/>
                <w:kern w:val="0"/>
                <w:sz w:val="18"/>
                <w:szCs w:val="18"/>
              </w:rPr>
              <w:br w:type="textWrapping"/>
            </w:r>
            <w:r>
              <w:rPr>
                <w:rFonts w:hint="eastAsia" w:ascii="宋体" w:hAnsi="宋体" w:eastAsia="宋体" w:cs="宋体"/>
                <w:kern w:val="0"/>
                <w:sz w:val="18"/>
                <w:szCs w:val="18"/>
              </w:rPr>
              <w:t>采用中间件技术，可分布式部署，提高存储效率和数据安全性。</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支持管理平台根据指定路由规则，自动组建中间件集群路由连接。</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基于平台客户端，录像回放定位准确，支持多路回放、切片快照、录像标签、单帧播放、快放慢放、电子放大、回放抓拍，可实现秒级检索、录像解码上墙、地图回放录像。</w:t>
            </w:r>
            <w:r>
              <w:rPr>
                <w:rFonts w:hint="eastAsia" w:ascii="宋体" w:hAnsi="宋体" w:eastAsia="宋体" w:cs="宋体"/>
                <w:kern w:val="0"/>
                <w:sz w:val="18"/>
                <w:szCs w:val="18"/>
              </w:rPr>
              <w:br w:type="textWrapping"/>
            </w:r>
            <w:r>
              <w:rPr>
                <w:rFonts w:hint="eastAsia" w:ascii="宋体" w:hAnsi="宋体" w:eastAsia="宋体" w:cs="宋体"/>
                <w:kern w:val="0"/>
                <w:sz w:val="18"/>
                <w:szCs w:val="18"/>
              </w:rPr>
              <w:t>通过转分发机制，最大限度利用现有网络资源，节约网络带宽，减轻多路回放时对设备端的压力，实现海量数据的接入和分发。</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支持报警联动和报警转发。</w:t>
            </w:r>
            <w:r>
              <w:rPr>
                <w:rFonts w:hint="eastAsia" w:ascii="宋体" w:hAnsi="宋体" w:eastAsia="宋体" w:cs="宋体"/>
                <w:kern w:val="0"/>
                <w:sz w:val="18"/>
                <w:szCs w:val="18"/>
              </w:rPr>
              <w:br w:type="textWrapping"/>
            </w:r>
            <w:r>
              <w:rPr>
                <w:rFonts w:hint="eastAsia" w:ascii="宋体" w:hAnsi="宋体" w:eastAsia="宋体" w:cs="宋体"/>
                <w:kern w:val="0"/>
                <w:sz w:val="18"/>
                <w:szCs w:val="18"/>
              </w:rPr>
              <w:t>网关功能：</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支持国标GB/T 28181视频监控接口协议和基于SIP标准规范的其他协议。</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支持同时向多个上级平台注册，支持同时对接多个下级平台，视频通道数量管理能力不低于5万路。</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可接入符合国标GB/T 28181协议的IPC、NVR/DVR、解码器等主流品牌设备。</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支持负载均衡，保证部署多台网关转发视频的可靠性。</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支持穿越网闸或视频安全接入平台，实现外网视频资源对接到内网。</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支持安全认证及权限管理，保证调用监控资源的合规性。</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支持设备注册注销、心跳保活、目录查询、实时预览、云台控制、录像文件的检索回放下载、手动录像、报警管理、布撤防、设备信息查询、设备状态查询、设备远程启动、设备校时等国标联网功能。</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支持目录主动推送、资源实时同步、冗余资源处理、资源选择性共享等扩展联网功能。</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可实现设备信息及状态查询、实时点播、云台控制、视音频文件检索及下载、回放及回放控制、布撤防、设备远程启动等功能。</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可查看网关的工作状态，可对接入的设备资源进行统计。</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支持PS、RTP+PS封装格式和H.264编码格式输出</w:t>
            </w:r>
          </w:p>
        </w:tc>
        <w:tc>
          <w:tcPr>
            <w:tcW w:w="457" w:type="pct"/>
            <w:tcBorders>
              <w:top w:val="single" w:color="auto" w:sz="4" w:space="0"/>
              <w:left w:val="nil"/>
              <w:bottom w:val="single" w:color="auto" w:sz="4" w:space="0"/>
              <w:right w:val="single" w:color="auto" w:sz="4" w:space="0"/>
            </w:tcBorders>
            <w:noWrap/>
            <w:vAlign w:val="center"/>
          </w:tcPr>
          <w:p w14:paraId="316A0C36">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1</w:t>
            </w:r>
          </w:p>
        </w:tc>
        <w:tc>
          <w:tcPr>
            <w:tcW w:w="379" w:type="pct"/>
            <w:tcBorders>
              <w:top w:val="single" w:color="auto" w:sz="4" w:space="0"/>
              <w:left w:val="nil"/>
              <w:bottom w:val="single" w:color="auto" w:sz="4" w:space="0"/>
              <w:right w:val="single" w:color="auto" w:sz="4" w:space="0"/>
            </w:tcBorders>
            <w:noWrap/>
            <w:vAlign w:val="center"/>
          </w:tcPr>
          <w:p w14:paraId="37D1B1FF">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台</w:t>
            </w:r>
          </w:p>
        </w:tc>
        <w:tc>
          <w:tcPr>
            <w:tcW w:w="676" w:type="pct"/>
            <w:tcBorders>
              <w:top w:val="single" w:color="auto" w:sz="4" w:space="0"/>
              <w:left w:val="nil"/>
              <w:bottom w:val="single" w:color="auto" w:sz="4" w:space="0"/>
              <w:right w:val="single" w:color="auto" w:sz="4" w:space="0"/>
            </w:tcBorders>
            <w:noWrap/>
            <w:vAlign w:val="center"/>
          </w:tcPr>
          <w:p w14:paraId="1A5A7300">
            <w:pPr>
              <w:widowControl/>
              <w:spacing w:line="240" w:lineRule="auto"/>
              <w:ind w:firstLine="0" w:firstLineChars="0"/>
              <w:jc w:val="left"/>
              <w:rPr>
                <w:rFonts w:hint="eastAsia" w:ascii="宋体" w:hAnsi="宋体" w:eastAsia="宋体" w:cs="宋体"/>
                <w:kern w:val="0"/>
                <w:sz w:val="24"/>
                <w:szCs w:val="24"/>
              </w:rPr>
            </w:pPr>
          </w:p>
        </w:tc>
      </w:tr>
      <w:tr w14:paraId="0C3EE0D7">
        <w:tblPrEx>
          <w:tblCellMar>
            <w:top w:w="0" w:type="dxa"/>
            <w:left w:w="108" w:type="dxa"/>
            <w:bottom w:w="0" w:type="dxa"/>
            <w:right w:w="108" w:type="dxa"/>
          </w:tblCellMar>
        </w:tblPrEx>
        <w:trPr>
          <w:trHeight w:val="1000" w:hRule="atLeast"/>
        </w:trPr>
        <w:tc>
          <w:tcPr>
            <w:tcW w:w="350" w:type="pct"/>
            <w:tcBorders>
              <w:top w:val="single" w:color="auto" w:sz="4" w:space="0"/>
              <w:left w:val="single" w:color="auto" w:sz="4" w:space="0"/>
              <w:bottom w:val="single" w:color="auto" w:sz="4" w:space="0"/>
              <w:right w:val="single" w:color="auto" w:sz="4" w:space="0"/>
            </w:tcBorders>
            <w:noWrap/>
            <w:vAlign w:val="center"/>
          </w:tcPr>
          <w:p w14:paraId="50CDBF91">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3</w:t>
            </w:r>
          </w:p>
        </w:tc>
        <w:tc>
          <w:tcPr>
            <w:tcW w:w="450" w:type="pct"/>
            <w:tcBorders>
              <w:top w:val="single" w:color="auto" w:sz="4" w:space="0"/>
              <w:left w:val="nil"/>
              <w:bottom w:val="single" w:color="auto" w:sz="4" w:space="0"/>
              <w:right w:val="single" w:color="auto" w:sz="4" w:space="0"/>
            </w:tcBorders>
            <w:noWrap w:val="0"/>
            <w:vAlign w:val="center"/>
          </w:tcPr>
          <w:p w14:paraId="2FC54839">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数字录像设备</w:t>
            </w:r>
          </w:p>
        </w:tc>
        <w:tc>
          <w:tcPr>
            <w:tcW w:w="2684" w:type="pct"/>
            <w:tcBorders>
              <w:top w:val="single" w:color="auto" w:sz="4" w:space="0"/>
              <w:left w:val="nil"/>
              <w:bottom w:val="single" w:color="auto" w:sz="4" w:space="0"/>
              <w:right w:val="single" w:color="auto" w:sz="4" w:space="0"/>
            </w:tcBorders>
            <w:noWrap w:val="0"/>
            <w:vAlign w:val="center"/>
          </w:tcPr>
          <w:p w14:paraId="6C4A9DD8">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支持40路网络视频接入；</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支持人脸、车辆图片统一存储管理</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整机接收图片性能12张/秒，对接入路数不限制，12张/秒的图片流占用带宽平均按30M计算；</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支持IPC分辨率12MP/8MP/6MP/5MP/4MP/3MP/1080P/UXGA/720P/VGA/4CIF/DCIF/2CIF/CIF/QCIF</w:t>
            </w:r>
            <w:r>
              <w:rPr>
                <w:rFonts w:hint="eastAsia" w:ascii="宋体" w:hAnsi="宋体" w:eastAsia="宋体" w:cs="宋体"/>
                <w:kern w:val="0"/>
                <w:sz w:val="18"/>
                <w:szCs w:val="18"/>
              </w:rPr>
              <w:br w:type="textWrapping"/>
            </w:r>
            <w:r>
              <w:rPr>
                <w:rFonts w:hint="eastAsia" w:ascii="宋体" w:hAnsi="宋体" w:eastAsia="宋体" w:cs="宋体"/>
                <w:kern w:val="0"/>
                <w:sz w:val="18"/>
                <w:szCs w:val="18"/>
              </w:rPr>
              <w:t>48路720P/24路1080P/16路3MP/12路4MP/9路5MP/8路6MP/6路4K/4路12MP同时预览</w:t>
            </w:r>
            <w:r>
              <w:rPr>
                <w:rFonts w:hint="eastAsia" w:ascii="宋体" w:hAnsi="宋体" w:eastAsia="宋体" w:cs="宋体"/>
                <w:kern w:val="0"/>
                <w:sz w:val="18"/>
                <w:szCs w:val="18"/>
              </w:rPr>
              <w:br w:type="textWrapping"/>
            </w:r>
            <w:r>
              <w:rPr>
                <w:rFonts w:hint="eastAsia" w:ascii="宋体" w:hAnsi="宋体" w:eastAsia="宋体" w:cs="宋体"/>
                <w:kern w:val="0"/>
                <w:sz w:val="18"/>
                <w:szCs w:val="18"/>
              </w:rPr>
              <w:t>16路720P/16路1080P/16路3MP/12路4MP/9路5MP/8路6MP/6路4K/4路12MP同步回放，1/16到 512倍速</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支持1/3/4/5/6/7/8/9/10/13/16/20A/20B/25/36/40画面预览</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支持16个前置硬盘接口，单块最大18TB，支持热插拔</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支持RAID0/1/5/6/10，JBOD模式</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支持2个HDMI/2个VGA视频输出（非同源），最高分辨率可达4K</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支持S+265、H.265、H.264压缩标准</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带宽：接入：640Mbps，转发：320Mbps</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支持驳接Onvif、RTSP标准协议网络前端,GB28181对接平台，GA/T1400对接平台</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支持H.265 Onvif</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功率≤100W（不含硬盘）</w:t>
            </w:r>
          </w:p>
        </w:tc>
        <w:tc>
          <w:tcPr>
            <w:tcW w:w="457" w:type="pct"/>
            <w:tcBorders>
              <w:top w:val="single" w:color="auto" w:sz="4" w:space="0"/>
              <w:left w:val="nil"/>
              <w:bottom w:val="single" w:color="auto" w:sz="4" w:space="0"/>
              <w:right w:val="single" w:color="auto" w:sz="4" w:space="0"/>
            </w:tcBorders>
            <w:noWrap/>
            <w:vAlign w:val="center"/>
          </w:tcPr>
          <w:p w14:paraId="5996F98A">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3</w:t>
            </w:r>
          </w:p>
        </w:tc>
        <w:tc>
          <w:tcPr>
            <w:tcW w:w="379" w:type="pct"/>
            <w:tcBorders>
              <w:top w:val="single" w:color="auto" w:sz="4" w:space="0"/>
              <w:left w:val="nil"/>
              <w:bottom w:val="single" w:color="auto" w:sz="4" w:space="0"/>
              <w:right w:val="single" w:color="auto" w:sz="4" w:space="0"/>
            </w:tcBorders>
            <w:noWrap/>
            <w:vAlign w:val="center"/>
          </w:tcPr>
          <w:p w14:paraId="0D9D1D2C">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台</w:t>
            </w:r>
          </w:p>
        </w:tc>
        <w:tc>
          <w:tcPr>
            <w:tcW w:w="676" w:type="pct"/>
            <w:tcBorders>
              <w:top w:val="single" w:color="auto" w:sz="4" w:space="0"/>
              <w:left w:val="nil"/>
              <w:bottom w:val="single" w:color="auto" w:sz="4" w:space="0"/>
              <w:right w:val="single" w:color="auto" w:sz="4" w:space="0"/>
            </w:tcBorders>
            <w:noWrap/>
            <w:vAlign w:val="center"/>
          </w:tcPr>
          <w:p w14:paraId="1ACF7F12">
            <w:pPr>
              <w:widowControl/>
              <w:spacing w:line="240" w:lineRule="auto"/>
              <w:ind w:firstLine="0" w:firstLineChars="0"/>
              <w:jc w:val="left"/>
              <w:rPr>
                <w:rFonts w:hint="eastAsia" w:ascii="宋体" w:hAnsi="宋体" w:eastAsia="宋体" w:cs="宋体"/>
                <w:kern w:val="0"/>
                <w:sz w:val="24"/>
                <w:szCs w:val="24"/>
              </w:rPr>
            </w:pPr>
          </w:p>
        </w:tc>
      </w:tr>
      <w:tr w14:paraId="32112264">
        <w:tblPrEx>
          <w:tblCellMar>
            <w:top w:w="0" w:type="dxa"/>
            <w:left w:w="108" w:type="dxa"/>
            <w:bottom w:w="0" w:type="dxa"/>
            <w:right w:w="108" w:type="dxa"/>
          </w:tblCellMar>
        </w:tblPrEx>
        <w:trPr>
          <w:trHeight w:val="1000" w:hRule="atLeast"/>
        </w:trPr>
        <w:tc>
          <w:tcPr>
            <w:tcW w:w="350" w:type="pct"/>
            <w:tcBorders>
              <w:top w:val="single" w:color="auto" w:sz="4" w:space="0"/>
              <w:left w:val="single" w:color="auto" w:sz="4" w:space="0"/>
              <w:bottom w:val="single" w:color="auto" w:sz="4" w:space="0"/>
              <w:right w:val="single" w:color="auto" w:sz="4" w:space="0"/>
            </w:tcBorders>
            <w:noWrap/>
            <w:vAlign w:val="center"/>
          </w:tcPr>
          <w:p w14:paraId="41C6BAC5">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4</w:t>
            </w:r>
          </w:p>
        </w:tc>
        <w:tc>
          <w:tcPr>
            <w:tcW w:w="450" w:type="pct"/>
            <w:tcBorders>
              <w:top w:val="single" w:color="auto" w:sz="4" w:space="0"/>
              <w:left w:val="nil"/>
              <w:bottom w:val="single" w:color="auto" w:sz="4" w:space="0"/>
              <w:right w:val="single" w:color="auto" w:sz="4" w:space="0"/>
            </w:tcBorders>
            <w:noWrap w:val="0"/>
            <w:vAlign w:val="center"/>
          </w:tcPr>
          <w:p w14:paraId="7B599AF4">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硬盘-监控级（10T）</w:t>
            </w:r>
          </w:p>
        </w:tc>
        <w:tc>
          <w:tcPr>
            <w:tcW w:w="2684" w:type="pct"/>
            <w:tcBorders>
              <w:top w:val="single" w:color="auto" w:sz="4" w:space="0"/>
              <w:left w:val="single" w:color="auto" w:sz="4" w:space="0"/>
              <w:bottom w:val="single" w:color="auto" w:sz="4" w:space="0"/>
              <w:right w:val="single" w:color="auto" w:sz="4" w:space="0"/>
            </w:tcBorders>
            <w:noWrap w:val="0"/>
            <w:vAlign w:val="center"/>
          </w:tcPr>
          <w:p w14:paraId="0FCCDD2A">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空气填充；</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接口：SATA 6Gb/s；</w:t>
            </w:r>
            <w:r>
              <w:rPr>
                <w:rFonts w:hint="eastAsia" w:ascii="宋体" w:hAnsi="宋体" w:eastAsia="宋体" w:cs="宋体"/>
                <w:kern w:val="0"/>
                <w:sz w:val="18"/>
                <w:szCs w:val="18"/>
              </w:rPr>
              <w:br w:type="textWrapping"/>
            </w:r>
            <w:r>
              <w:rPr>
                <w:rFonts w:hint="eastAsia" w:ascii="宋体" w:hAnsi="宋体" w:eastAsia="宋体" w:cs="宋体"/>
                <w:kern w:val="0"/>
                <w:sz w:val="18"/>
                <w:szCs w:val="18"/>
              </w:rPr>
              <w:t>转速7200rpm；</w:t>
            </w:r>
            <w:r>
              <w:rPr>
                <w:rFonts w:hint="eastAsia" w:ascii="宋体" w:hAnsi="宋体" w:eastAsia="宋体" w:cs="宋体"/>
                <w:kern w:val="0"/>
                <w:sz w:val="18"/>
                <w:szCs w:val="18"/>
              </w:rPr>
              <w:br w:type="textWrapping"/>
            </w:r>
            <w:r>
              <w:rPr>
                <w:rFonts w:hint="eastAsia" w:ascii="宋体" w:hAnsi="宋体" w:eastAsia="宋体" w:cs="宋体"/>
                <w:kern w:val="0"/>
                <w:sz w:val="18"/>
                <w:szCs w:val="18"/>
              </w:rPr>
              <w:t>256MB缓存；</w:t>
            </w:r>
            <w:r>
              <w:rPr>
                <w:rFonts w:hint="eastAsia" w:ascii="宋体" w:hAnsi="宋体" w:eastAsia="宋体" w:cs="宋体"/>
                <w:kern w:val="0"/>
                <w:sz w:val="18"/>
                <w:szCs w:val="18"/>
              </w:rPr>
              <w:br w:type="textWrapping"/>
            </w:r>
            <w:r>
              <w:rPr>
                <w:rFonts w:hint="eastAsia" w:ascii="宋体" w:hAnsi="宋体" w:eastAsia="宋体" w:cs="宋体"/>
                <w:kern w:val="0"/>
                <w:sz w:val="18"/>
                <w:szCs w:val="18"/>
              </w:rPr>
              <w:t>最大持续传输速率245MB/s；</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开机小时数8760；</w:t>
            </w:r>
            <w:r>
              <w:rPr>
                <w:rFonts w:hint="eastAsia" w:ascii="宋体" w:hAnsi="宋体" w:eastAsia="宋体" w:cs="宋体"/>
                <w:kern w:val="0"/>
                <w:sz w:val="18"/>
                <w:szCs w:val="18"/>
              </w:rPr>
              <w:br w:type="textWrapping"/>
            </w:r>
            <w:r>
              <w:rPr>
                <w:rFonts w:hint="eastAsia" w:ascii="宋体" w:hAnsi="宋体" w:eastAsia="宋体" w:cs="宋体"/>
                <w:kern w:val="0"/>
                <w:sz w:val="18"/>
                <w:szCs w:val="18"/>
              </w:rPr>
              <w:t>平均故障间隔时间2,000,000小时；</w:t>
            </w:r>
          </w:p>
        </w:tc>
        <w:tc>
          <w:tcPr>
            <w:tcW w:w="457" w:type="pct"/>
            <w:tcBorders>
              <w:top w:val="single" w:color="auto" w:sz="4" w:space="0"/>
              <w:left w:val="nil"/>
              <w:bottom w:val="single" w:color="auto" w:sz="4" w:space="0"/>
              <w:right w:val="single" w:color="auto" w:sz="4" w:space="0"/>
            </w:tcBorders>
            <w:noWrap/>
            <w:vAlign w:val="center"/>
          </w:tcPr>
          <w:p w14:paraId="77412497">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48</w:t>
            </w:r>
          </w:p>
        </w:tc>
        <w:tc>
          <w:tcPr>
            <w:tcW w:w="379" w:type="pct"/>
            <w:tcBorders>
              <w:top w:val="single" w:color="auto" w:sz="4" w:space="0"/>
              <w:left w:val="nil"/>
              <w:bottom w:val="single" w:color="auto" w:sz="4" w:space="0"/>
              <w:right w:val="single" w:color="auto" w:sz="4" w:space="0"/>
            </w:tcBorders>
            <w:noWrap/>
            <w:vAlign w:val="center"/>
          </w:tcPr>
          <w:p w14:paraId="67664B4A">
            <w:pPr>
              <w:widowControl/>
              <w:spacing w:line="240" w:lineRule="auto"/>
              <w:ind w:firstLine="0" w:firstLineChars="0"/>
              <w:jc w:val="center"/>
              <w:rPr>
                <w:rFonts w:hint="eastAsia" w:ascii="宋体" w:hAnsi="宋体" w:eastAsia="宋体" w:cs="宋体"/>
                <w:kern w:val="0"/>
                <w:sz w:val="18"/>
                <w:szCs w:val="18"/>
              </w:rPr>
            </w:pPr>
            <w:r>
              <w:rPr>
                <w:rFonts w:hint="eastAsia" w:ascii="宋体" w:hAnsi="宋体" w:eastAsia="宋体" w:cs="宋体"/>
                <w:kern w:val="0"/>
                <w:sz w:val="18"/>
                <w:szCs w:val="18"/>
              </w:rPr>
              <w:t>块</w:t>
            </w:r>
          </w:p>
        </w:tc>
        <w:tc>
          <w:tcPr>
            <w:tcW w:w="676" w:type="pct"/>
            <w:tcBorders>
              <w:top w:val="single" w:color="auto" w:sz="4" w:space="0"/>
              <w:left w:val="nil"/>
              <w:bottom w:val="single" w:color="auto" w:sz="4" w:space="0"/>
              <w:right w:val="single" w:color="auto" w:sz="4" w:space="0"/>
            </w:tcBorders>
            <w:noWrap/>
            <w:vAlign w:val="center"/>
          </w:tcPr>
          <w:p w14:paraId="5D7E2916">
            <w:pPr>
              <w:widowControl/>
              <w:spacing w:line="240" w:lineRule="auto"/>
              <w:ind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r>
      <w:tr w14:paraId="557EDAB7">
        <w:tblPrEx>
          <w:tblCellMar>
            <w:top w:w="0" w:type="dxa"/>
            <w:left w:w="108" w:type="dxa"/>
            <w:bottom w:w="0" w:type="dxa"/>
            <w:right w:w="108" w:type="dxa"/>
          </w:tblCellMar>
        </w:tblPrEx>
        <w:trPr>
          <w:trHeight w:val="1000" w:hRule="atLeast"/>
        </w:trPr>
        <w:tc>
          <w:tcPr>
            <w:tcW w:w="350" w:type="pct"/>
            <w:tcBorders>
              <w:top w:val="single" w:color="auto" w:sz="4" w:space="0"/>
              <w:left w:val="single" w:color="auto" w:sz="4" w:space="0"/>
              <w:bottom w:val="single" w:color="auto" w:sz="4" w:space="0"/>
              <w:right w:val="single" w:color="auto" w:sz="4" w:space="0"/>
            </w:tcBorders>
            <w:noWrap/>
            <w:vAlign w:val="center"/>
          </w:tcPr>
          <w:p w14:paraId="36805F2C">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5</w:t>
            </w:r>
          </w:p>
        </w:tc>
        <w:tc>
          <w:tcPr>
            <w:tcW w:w="450" w:type="pct"/>
            <w:tcBorders>
              <w:top w:val="single" w:color="auto" w:sz="4" w:space="0"/>
              <w:left w:val="nil"/>
              <w:bottom w:val="single" w:color="auto" w:sz="4" w:space="0"/>
              <w:right w:val="single" w:color="auto" w:sz="4" w:space="0"/>
            </w:tcBorders>
            <w:noWrap w:val="0"/>
            <w:vAlign w:val="center"/>
          </w:tcPr>
          <w:p w14:paraId="48227CF2">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POE接入交换机</w:t>
            </w:r>
          </w:p>
        </w:tc>
        <w:tc>
          <w:tcPr>
            <w:tcW w:w="2684" w:type="pct"/>
            <w:tcBorders>
              <w:top w:val="single" w:color="auto" w:sz="4" w:space="0"/>
              <w:left w:val="single" w:color="auto" w:sz="4" w:space="0"/>
              <w:bottom w:val="single" w:color="auto" w:sz="4" w:space="0"/>
              <w:right w:val="single" w:color="auto" w:sz="4" w:space="0"/>
            </w:tcBorders>
            <w:noWrap w:val="0"/>
            <w:vAlign w:val="center"/>
          </w:tcPr>
          <w:p w14:paraId="6C8FFC11">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24个10/100/1000Base-T自适应以太网接口，4个2.5G/1G SFP接口，POE输出功率370W</w:t>
            </w:r>
          </w:p>
        </w:tc>
        <w:tc>
          <w:tcPr>
            <w:tcW w:w="457" w:type="pct"/>
            <w:tcBorders>
              <w:top w:val="single" w:color="auto" w:sz="4" w:space="0"/>
              <w:left w:val="nil"/>
              <w:bottom w:val="single" w:color="auto" w:sz="4" w:space="0"/>
              <w:right w:val="single" w:color="auto" w:sz="4" w:space="0"/>
            </w:tcBorders>
            <w:noWrap/>
            <w:vAlign w:val="center"/>
          </w:tcPr>
          <w:p w14:paraId="062FF178">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5</w:t>
            </w:r>
          </w:p>
        </w:tc>
        <w:tc>
          <w:tcPr>
            <w:tcW w:w="379" w:type="pct"/>
            <w:tcBorders>
              <w:top w:val="single" w:color="auto" w:sz="4" w:space="0"/>
              <w:left w:val="nil"/>
              <w:bottom w:val="single" w:color="auto" w:sz="4" w:space="0"/>
              <w:right w:val="single" w:color="auto" w:sz="4" w:space="0"/>
            </w:tcBorders>
            <w:noWrap/>
            <w:vAlign w:val="center"/>
          </w:tcPr>
          <w:p w14:paraId="770DF09C">
            <w:pPr>
              <w:widowControl/>
              <w:spacing w:line="240" w:lineRule="auto"/>
              <w:ind w:firstLine="0" w:firstLineChars="0"/>
              <w:jc w:val="center"/>
              <w:rPr>
                <w:rFonts w:hint="eastAsia" w:ascii="宋体" w:hAnsi="宋体" w:eastAsia="宋体" w:cs="宋体"/>
                <w:kern w:val="0"/>
                <w:sz w:val="18"/>
                <w:szCs w:val="18"/>
                <w:lang w:eastAsia="zh-CN"/>
              </w:rPr>
            </w:pPr>
            <w:r>
              <w:rPr>
                <w:rFonts w:hint="eastAsia" w:ascii="宋体" w:hAnsi="宋体" w:eastAsia="宋体" w:cs="宋体"/>
                <w:kern w:val="0"/>
                <w:sz w:val="18"/>
                <w:szCs w:val="18"/>
                <w:lang w:val="en-US" w:eastAsia="zh-CN"/>
              </w:rPr>
              <w:t>台</w:t>
            </w:r>
          </w:p>
        </w:tc>
        <w:tc>
          <w:tcPr>
            <w:tcW w:w="676" w:type="pct"/>
            <w:tcBorders>
              <w:top w:val="single" w:color="auto" w:sz="4" w:space="0"/>
              <w:left w:val="nil"/>
              <w:bottom w:val="single" w:color="auto" w:sz="4" w:space="0"/>
              <w:right w:val="single" w:color="auto" w:sz="4" w:space="0"/>
            </w:tcBorders>
            <w:noWrap/>
            <w:vAlign w:val="center"/>
          </w:tcPr>
          <w:p w14:paraId="332C832A">
            <w:pPr>
              <w:widowControl/>
              <w:spacing w:line="240" w:lineRule="auto"/>
              <w:ind w:firstLine="0" w:firstLineChars="0"/>
              <w:jc w:val="left"/>
              <w:rPr>
                <w:rFonts w:hint="eastAsia" w:ascii="宋体" w:hAnsi="宋体" w:eastAsia="宋体" w:cs="宋体"/>
                <w:kern w:val="0"/>
                <w:sz w:val="24"/>
                <w:szCs w:val="24"/>
              </w:rPr>
            </w:pPr>
            <w:r>
              <w:rPr>
                <w:rFonts w:hint="eastAsia" w:ascii="宋体" w:hAnsi="宋体" w:eastAsia="宋体" w:cs="宋体"/>
                <w:kern w:val="0"/>
                <w:sz w:val="24"/>
                <w:szCs w:val="24"/>
              </w:rPr>
              <w:t>　</w:t>
            </w:r>
          </w:p>
        </w:tc>
      </w:tr>
      <w:tr w14:paraId="577CCFA1">
        <w:tblPrEx>
          <w:tblCellMar>
            <w:top w:w="0" w:type="dxa"/>
            <w:left w:w="108" w:type="dxa"/>
            <w:bottom w:w="0" w:type="dxa"/>
            <w:right w:w="108" w:type="dxa"/>
          </w:tblCellMar>
        </w:tblPrEx>
        <w:trPr>
          <w:trHeight w:val="1000" w:hRule="atLeast"/>
        </w:trPr>
        <w:tc>
          <w:tcPr>
            <w:tcW w:w="350" w:type="pct"/>
            <w:tcBorders>
              <w:top w:val="single" w:color="auto" w:sz="4" w:space="0"/>
              <w:left w:val="single" w:color="auto" w:sz="4" w:space="0"/>
              <w:bottom w:val="single" w:color="auto" w:sz="4" w:space="0"/>
              <w:right w:val="single" w:color="auto" w:sz="4" w:space="0"/>
            </w:tcBorders>
            <w:noWrap/>
            <w:vAlign w:val="center"/>
          </w:tcPr>
          <w:p w14:paraId="0D1D20DB">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6</w:t>
            </w:r>
          </w:p>
        </w:tc>
        <w:tc>
          <w:tcPr>
            <w:tcW w:w="450" w:type="pct"/>
            <w:tcBorders>
              <w:top w:val="single" w:color="auto" w:sz="4" w:space="0"/>
              <w:left w:val="nil"/>
              <w:bottom w:val="single" w:color="auto" w:sz="4" w:space="0"/>
              <w:right w:val="single" w:color="auto" w:sz="4" w:space="0"/>
            </w:tcBorders>
            <w:noWrap w:val="0"/>
            <w:vAlign w:val="center"/>
          </w:tcPr>
          <w:p w14:paraId="056BA13B">
            <w:pPr>
              <w:widowControl/>
              <w:spacing w:line="240" w:lineRule="auto"/>
              <w:ind w:firstLine="0" w:firstLineChars="0"/>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8口千兆Poe交换机</w:t>
            </w:r>
          </w:p>
        </w:tc>
        <w:tc>
          <w:tcPr>
            <w:tcW w:w="2684" w:type="pct"/>
            <w:tcBorders>
              <w:top w:val="single" w:color="auto" w:sz="4" w:space="0"/>
              <w:left w:val="single" w:color="auto" w:sz="4" w:space="0"/>
              <w:bottom w:val="single" w:color="auto" w:sz="4" w:space="0"/>
              <w:right w:val="single" w:color="auto" w:sz="4" w:space="0"/>
            </w:tcBorders>
            <w:noWrap w:val="0"/>
            <w:vAlign w:val="center"/>
          </w:tcPr>
          <w:p w14:paraId="0A60FD0A">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8个10/100/1000Base-T自适应以太网接口</w:t>
            </w:r>
          </w:p>
        </w:tc>
        <w:tc>
          <w:tcPr>
            <w:tcW w:w="457" w:type="pct"/>
            <w:tcBorders>
              <w:top w:val="single" w:color="auto" w:sz="4" w:space="0"/>
              <w:left w:val="nil"/>
              <w:bottom w:val="single" w:color="auto" w:sz="4" w:space="0"/>
              <w:right w:val="single" w:color="auto" w:sz="4" w:space="0"/>
            </w:tcBorders>
            <w:noWrap/>
            <w:vAlign w:val="center"/>
          </w:tcPr>
          <w:p w14:paraId="1B059D13">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16</w:t>
            </w:r>
          </w:p>
        </w:tc>
        <w:tc>
          <w:tcPr>
            <w:tcW w:w="379" w:type="pct"/>
            <w:tcBorders>
              <w:top w:val="single" w:color="auto" w:sz="4" w:space="0"/>
              <w:left w:val="nil"/>
              <w:bottom w:val="single" w:color="auto" w:sz="4" w:space="0"/>
              <w:right w:val="single" w:color="auto" w:sz="4" w:space="0"/>
            </w:tcBorders>
            <w:noWrap/>
            <w:vAlign w:val="center"/>
          </w:tcPr>
          <w:p w14:paraId="28E887C8">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台</w:t>
            </w:r>
          </w:p>
        </w:tc>
        <w:tc>
          <w:tcPr>
            <w:tcW w:w="676" w:type="pct"/>
            <w:tcBorders>
              <w:top w:val="single" w:color="auto" w:sz="4" w:space="0"/>
              <w:left w:val="nil"/>
              <w:bottom w:val="single" w:color="auto" w:sz="4" w:space="0"/>
              <w:right w:val="single" w:color="auto" w:sz="4" w:space="0"/>
            </w:tcBorders>
            <w:noWrap/>
            <w:vAlign w:val="center"/>
          </w:tcPr>
          <w:p w14:paraId="3E1B1F60">
            <w:pPr>
              <w:widowControl/>
              <w:spacing w:line="240" w:lineRule="auto"/>
              <w:ind w:firstLine="0" w:firstLineChars="0"/>
              <w:jc w:val="left"/>
              <w:rPr>
                <w:rFonts w:hint="eastAsia" w:ascii="宋体" w:hAnsi="宋体" w:eastAsia="宋体" w:cs="宋体"/>
                <w:kern w:val="0"/>
                <w:sz w:val="24"/>
                <w:szCs w:val="24"/>
              </w:rPr>
            </w:pPr>
          </w:p>
        </w:tc>
      </w:tr>
      <w:tr w14:paraId="6F14E567">
        <w:tblPrEx>
          <w:tblCellMar>
            <w:top w:w="0" w:type="dxa"/>
            <w:left w:w="108" w:type="dxa"/>
            <w:bottom w:w="0" w:type="dxa"/>
            <w:right w:w="108" w:type="dxa"/>
          </w:tblCellMar>
        </w:tblPrEx>
        <w:trPr>
          <w:trHeight w:val="1000" w:hRule="atLeast"/>
        </w:trPr>
        <w:tc>
          <w:tcPr>
            <w:tcW w:w="350" w:type="pct"/>
            <w:tcBorders>
              <w:top w:val="single" w:color="auto" w:sz="4" w:space="0"/>
              <w:left w:val="single" w:color="auto" w:sz="4" w:space="0"/>
              <w:bottom w:val="single" w:color="auto" w:sz="4" w:space="0"/>
              <w:right w:val="single" w:color="auto" w:sz="4" w:space="0"/>
            </w:tcBorders>
            <w:noWrap/>
            <w:vAlign w:val="center"/>
          </w:tcPr>
          <w:p w14:paraId="767E981D">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7</w:t>
            </w:r>
          </w:p>
        </w:tc>
        <w:tc>
          <w:tcPr>
            <w:tcW w:w="450" w:type="pct"/>
            <w:tcBorders>
              <w:top w:val="single" w:color="auto" w:sz="4" w:space="0"/>
              <w:left w:val="nil"/>
              <w:bottom w:val="single" w:color="auto" w:sz="4" w:space="0"/>
              <w:right w:val="single" w:color="auto" w:sz="4" w:space="0"/>
            </w:tcBorders>
            <w:noWrap w:val="0"/>
            <w:vAlign w:val="center"/>
          </w:tcPr>
          <w:p w14:paraId="539B862F">
            <w:pPr>
              <w:widowControl/>
              <w:spacing w:line="240" w:lineRule="auto"/>
              <w:ind w:firstLine="0" w:firstLineChars="0"/>
              <w:jc w:val="center"/>
              <w:rPr>
                <w:rFonts w:hint="eastAsia"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汇聚交换机</w:t>
            </w:r>
          </w:p>
        </w:tc>
        <w:tc>
          <w:tcPr>
            <w:tcW w:w="2684" w:type="pct"/>
            <w:tcBorders>
              <w:top w:val="single" w:color="auto" w:sz="4" w:space="0"/>
              <w:left w:val="single" w:color="auto" w:sz="4" w:space="0"/>
              <w:bottom w:val="single" w:color="auto" w:sz="4" w:space="0"/>
              <w:right w:val="single" w:color="auto" w:sz="4" w:space="0"/>
            </w:tcBorders>
            <w:noWrap w:val="0"/>
            <w:vAlign w:val="center"/>
          </w:tcPr>
          <w:p w14:paraId="1585D2D1">
            <w:pPr>
              <w:widowControl/>
              <w:spacing w:line="240" w:lineRule="auto"/>
              <w:ind w:firstLine="0" w:firstLineChars="0"/>
              <w:jc w:val="left"/>
              <w:rPr>
                <w:rFonts w:hint="eastAsia" w:ascii="宋体" w:hAnsi="宋体" w:eastAsia="宋体" w:cs="宋体"/>
                <w:kern w:val="0"/>
                <w:sz w:val="18"/>
                <w:szCs w:val="18"/>
              </w:rPr>
            </w:pPr>
            <w:r>
              <w:rPr>
                <w:rFonts w:hint="eastAsia" w:ascii="宋体" w:hAnsi="宋体" w:eastAsia="宋体" w:cs="宋体"/>
                <w:kern w:val="0"/>
                <w:sz w:val="18"/>
                <w:szCs w:val="18"/>
              </w:rPr>
              <w:t>28个10/100/1000M自适应电口，4个复用的SFP接口（SFP为千兆/百兆口），4个1G/10G SFP+光口，2个模块化电源插槽</w:t>
            </w:r>
          </w:p>
        </w:tc>
        <w:tc>
          <w:tcPr>
            <w:tcW w:w="457" w:type="pct"/>
            <w:tcBorders>
              <w:top w:val="single" w:color="auto" w:sz="4" w:space="0"/>
              <w:left w:val="nil"/>
              <w:bottom w:val="single" w:color="auto" w:sz="4" w:space="0"/>
              <w:right w:val="single" w:color="auto" w:sz="4" w:space="0"/>
            </w:tcBorders>
            <w:noWrap/>
            <w:vAlign w:val="center"/>
          </w:tcPr>
          <w:p w14:paraId="2FC5ABA0">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379" w:type="pct"/>
            <w:tcBorders>
              <w:top w:val="single" w:color="auto" w:sz="4" w:space="0"/>
              <w:left w:val="nil"/>
              <w:bottom w:val="single" w:color="auto" w:sz="4" w:space="0"/>
              <w:right w:val="single" w:color="auto" w:sz="4" w:space="0"/>
            </w:tcBorders>
            <w:noWrap/>
            <w:vAlign w:val="center"/>
          </w:tcPr>
          <w:p w14:paraId="58922DA6">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台</w:t>
            </w:r>
          </w:p>
        </w:tc>
        <w:tc>
          <w:tcPr>
            <w:tcW w:w="676" w:type="pct"/>
            <w:tcBorders>
              <w:top w:val="single" w:color="auto" w:sz="4" w:space="0"/>
              <w:left w:val="nil"/>
              <w:bottom w:val="single" w:color="auto" w:sz="4" w:space="0"/>
              <w:right w:val="single" w:color="auto" w:sz="4" w:space="0"/>
            </w:tcBorders>
            <w:noWrap/>
            <w:vAlign w:val="center"/>
          </w:tcPr>
          <w:p w14:paraId="75D1D147">
            <w:pPr>
              <w:widowControl/>
              <w:spacing w:line="240" w:lineRule="auto"/>
              <w:ind w:firstLine="0" w:firstLineChars="0"/>
              <w:jc w:val="left"/>
              <w:rPr>
                <w:rFonts w:hint="eastAsia" w:ascii="宋体" w:hAnsi="宋体" w:eastAsia="宋体" w:cs="宋体"/>
                <w:kern w:val="0"/>
                <w:sz w:val="24"/>
                <w:szCs w:val="24"/>
              </w:rPr>
            </w:pPr>
          </w:p>
        </w:tc>
      </w:tr>
      <w:tr w14:paraId="5E1EFCD1">
        <w:tblPrEx>
          <w:tblCellMar>
            <w:top w:w="0" w:type="dxa"/>
            <w:left w:w="108" w:type="dxa"/>
            <w:bottom w:w="0" w:type="dxa"/>
            <w:right w:w="108" w:type="dxa"/>
          </w:tblCellMar>
        </w:tblPrEx>
        <w:trPr>
          <w:trHeight w:val="1000" w:hRule="atLeast"/>
        </w:trPr>
        <w:tc>
          <w:tcPr>
            <w:tcW w:w="350" w:type="pct"/>
            <w:tcBorders>
              <w:top w:val="single" w:color="auto" w:sz="4" w:space="0"/>
              <w:left w:val="single" w:color="auto" w:sz="4" w:space="0"/>
              <w:bottom w:val="single" w:color="auto" w:sz="4" w:space="0"/>
              <w:right w:val="single" w:color="auto" w:sz="4" w:space="0"/>
            </w:tcBorders>
            <w:noWrap/>
            <w:vAlign w:val="center"/>
          </w:tcPr>
          <w:p w14:paraId="077D840D">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8</w:t>
            </w:r>
          </w:p>
        </w:tc>
        <w:tc>
          <w:tcPr>
            <w:tcW w:w="450" w:type="pct"/>
            <w:tcBorders>
              <w:top w:val="single" w:color="auto" w:sz="4" w:space="0"/>
              <w:left w:val="nil"/>
              <w:bottom w:val="single" w:color="auto" w:sz="4" w:space="0"/>
              <w:right w:val="single" w:color="auto" w:sz="4" w:space="0"/>
            </w:tcBorders>
            <w:noWrap w:val="0"/>
            <w:vAlign w:val="center"/>
          </w:tcPr>
          <w:p w14:paraId="1565B388">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集成服务</w:t>
            </w:r>
          </w:p>
        </w:tc>
        <w:tc>
          <w:tcPr>
            <w:tcW w:w="2684" w:type="pct"/>
            <w:tcBorders>
              <w:top w:val="single" w:color="auto" w:sz="4" w:space="0"/>
              <w:left w:val="single" w:color="auto" w:sz="4" w:space="0"/>
              <w:bottom w:val="single" w:color="auto" w:sz="4" w:space="0"/>
              <w:right w:val="single" w:color="auto" w:sz="4" w:space="0"/>
            </w:tcBorders>
            <w:noWrap w:val="0"/>
            <w:vAlign w:val="center"/>
          </w:tcPr>
          <w:p w14:paraId="3007EF1D">
            <w:pPr>
              <w:widowControl/>
              <w:spacing w:line="240" w:lineRule="auto"/>
              <w:ind w:firstLine="0" w:firstLineChars="0"/>
              <w:jc w:val="left"/>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包括线缆材料、施工辅材配件，管材、挖沟恢复、立杆、监控设备安装调试等</w:t>
            </w:r>
          </w:p>
        </w:tc>
        <w:tc>
          <w:tcPr>
            <w:tcW w:w="457" w:type="pct"/>
            <w:tcBorders>
              <w:top w:val="single" w:color="auto" w:sz="4" w:space="0"/>
              <w:left w:val="nil"/>
              <w:bottom w:val="single" w:color="auto" w:sz="4" w:space="0"/>
              <w:right w:val="single" w:color="auto" w:sz="4" w:space="0"/>
            </w:tcBorders>
            <w:noWrap/>
            <w:vAlign w:val="center"/>
          </w:tcPr>
          <w:p w14:paraId="6D86CF7B">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1</w:t>
            </w:r>
          </w:p>
        </w:tc>
        <w:tc>
          <w:tcPr>
            <w:tcW w:w="379" w:type="pct"/>
            <w:tcBorders>
              <w:top w:val="single" w:color="auto" w:sz="4" w:space="0"/>
              <w:left w:val="nil"/>
              <w:bottom w:val="single" w:color="auto" w:sz="4" w:space="0"/>
              <w:right w:val="single" w:color="auto" w:sz="4" w:space="0"/>
            </w:tcBorders>
            <w:noWrap/>
            <w:vAlign w:val="center"/>
          </w:tcPr>
          <w:p w14:paraId="359C065C">
            <w:pPr>
              <w:widowControl/>
              <w:spacing w:line="240" w:lineRule="auto"/>
              <w:ind w:firstLine="0" w:firstLineChars="0"/>
              <w:jc w:val="center"/>
              <w:rPr>
                <w:rFonts w:hint="default" w:ascii="宋体" w:hAnsi="宋体" w:eastAsia="宋体" w:cs="宋体"/>
                <w:kern w:val="0"/>
                <w:sz w:val="18"/>
                <w:szCs w:val="18"/>
                <w:lang w:val="en-US" w:eastAsia="zh-CN"/>
              </w:rPr>
            </w:pPr>
            <w:r>
              <w:rPr>
                <w:rFonts w:hint="eastAsia" w:ascii="宋体" w:hAnsi="宋体" w:eastAsia="宋体" w:cs="宋体"/>
                <w:kern w:val="0"/>
                <w:sz w:val="18"/>
                <w:szCs w:val="18"/>
                <w:lang w:val="en-US" w:eastAsia="zh-CN"/>
              </w:rPr>
              <w:t>项</w:t>
            </w:r>
          </w:p>
        </w:tc>
        <w:tc>
          <w:tcPr>
            <w:tcW w:w="676" w:type="pct"/>
            <w:tcBorders>
              <w:top w:val="single" w:color="auto" w:sz="4" w:space="0"/>
              <w:left w:val="nil"/>
              <w:bottom w:val="single" w:color="auto" w:sz="4" w:space="0"/>
              <w:right w:val="single" w:color="auto" w:sz="4" w:space="0"/>
            </w:tcBorders>
            <w:noWrap/>
            <w:vAlign w:val="center"/>
          </w:tcPr>
          <w:p w14:paraId="763B5C20">
            <w:pPr>
              <w:widowControl/>
              <w:spacing w:line="240" w:lineRule="auto"/>
              <w:ind w:firstLine="0" w:firstLineChars="0"/>
              <w:jc w:val="left"/>
              <w:rPr>
                <w:rFonts w:hint="eastAsia" w:ascii="宋体" w:hAnsi="宋体" w:eastAsia="宋体" w:cs="宋体"/>
                <w:kern w:val="0"/>
                <w:sz w:val="24"/>
                <w:szCs w:val="24"/>
              </w:rPr>
            </w:pPr>
          </w:p>
        </w:tc>
      </w:tr>
    </w:tbl>
    <w:p w14:paraId="1E3C127A">
      <w:pPr>
        <w:keepNext w:val="0"/>
        <w:keepLines w:val="0"/>
        <w:pageBreakBefore w:val="0"/>
        <w:widowControl/>
        <w:suppressLineNumbers w:val="0"/>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b w:val="0"/>
          <w:bCs w:val="0"/>
          <w:kern w:val="2"/>
          <w:sz w:val="32"/>
          <w:szCs w:val="32"/>
          <w:lang w:val="en-US" w:eastAsia="zh-CN" w:bidi="ar-SA"/>
        </w:rPr>
      </w:pPr>
    </w:p>
    <w:p w14:paraId="633BD09F">
      <w:pPr>
        <w:pStyle w:val="22"/>
        <w:keepNext w:val="0"/>
        <w:keepLines w:val="0"/>
        <w:pageBreakBefore w:val="0"/>
        <w:widowControl/>
        <w:kinsoku/>
        <w:wordWrap w:val="0"/>
        <w:overflowPunct/>
        <w:topLinePunct w:val="0"/>
        <w:autoSpaceDE/>
        <w:autoSpaceDN/>
        <w:bidi w:val="0"/>
        <w:adjustRightInd w:val="0"/>
        <w:snapToGrid/>
        <w:spacing w:line="360" w:lineRule="auto"/>
        <w:ind w:firstLine="560" w:firstLineChars="200"/>
        <w:jc w:val="center"/>
        <w:textAlignment w:val="auto"/>
        <w:rPr>
          <w:rFonts w:hint="eastAsia" w:ascii="宋体" w:hAnsi="宋体" w:eastAsia="宋体"/>
          <w:szCs w:val="28"/>
          <w:lang w:val="en-US" w:eastAsia="zh-CN"/>
        </w:rPr>
      </w:pPr>
    </w:p>
    <w:sectPr>
      <w:headerReference r:id="rId3" w:type="default"/>
      <w:footerReference r:id="rId4" w:type="default"/>
      <w:pgSz w:w="11907" w:h="16840"/>
      <w:pgMar w:top="2041" w:right="1474" w:bottom="2041" w:left="1587" w:header="851" w:footer="992" w:gutter="0"/>
      <w:pgNumType w:fmt="decimal"/>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EE"/>
    <w:family w:val="roman"/>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altName w:val="GWZT-EN"/>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GWZT-EN"/>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文泉驿微米黑">
    <w:altName w:val="方正黑体_GBK"/>
    <w:panose1 w:val="020B0606030804020204"/>
    <w:charset w:val="86"/>
    <w:family w:val="auto"/>
    <w:pitch w:val="default"/>
    <w:sig w:usb0="00000000" w:usb1="00000000" w:usb2="00800036" w:usb3="00000000" w:csb0="603E019F" w:csb1="DFD70000"/>
  </w:font>
  <w:font w:name="方正黑体_GBK">
    <w:panose1 w:val="02000000000000000000"/>
    <w:charset w:val="86"/>
    <w:family w:val="auto"/>
    <w:pitch w:val="default"/>
    <w:sig w:usb0="00000001" w:usb1="0800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长城仿宋">
    <w:altName w:val="方正仿宋_GBK"/>
    <w:panose1 w:val="00000000000000000000"/>
    <w:charset w:val="86"/>
    <w:family w:val="modern"/>
    <w:pitch w:val="default"/>
    <w:sig w:usb0="00000000" w:usb1="00000000" w:usb2="00000010" w:usb3="00000000" w:csb0="00040000" w:csb1="00000000"/>
  </w:font>
  <w:font w:name="方正小标宋简体">
    <w:panose1 w:val="02000000000000000000"/>
    <w:charset w:val="86"/>
    <w:family w:val="auto"/>
    <w:pitch w:val="default"/>
    <w:sig w:usb0="A00002BF" w:usb1="184F6CFA" w:usb2="00000012" w:usb3="00000000" w:csb0="00040001" w:csb1="00000000"/>
  </w:font>
  <w:font w:name="国标仿宋-GB/T 2312">
    <w:panose1 w:val="02000500000000000000"/>
    <w:charset w:val="86"/>
    <w:family w:val="auto"/>
    <w:pitch w:val="default"/>
    <w:sig w:usb0="800002AF" w:usb1="08476CF8" w:usb2="00000010" w:usb3="00000000" w:csb0="00040000" w:csb1="00000000"/>
  </w:font>
  <w:font w:name="国标黑体">
    <w:panose1 w:val="02000500000000000000"/>
    <w:charset w:val="86"/>
    <w:family w:val="auto"/>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GWZT-EN">
    <w:panose1 w:val="020204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AD82E">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727A6D">
                          <w:pPr>
                            <w:pStyle w:val="10"/>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E727A6D">
                    <w:pPr>
                      <w:pStyle w:val="10"/>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15B809">
    <w:pPr>
      <w:pStyle w:val="11"/>
      <w:pBdr>
        <w:bottom w:val="none" w:color="auto" w:sz="0" w:space="0"/>
      </w:pBdr>
      <w:jc w:val="right"/>
      <w:rPr>
        <w:b/>
        <w:bC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
  <w:docVars>
    <w:docVar w:name="commondata" w:val="eyJoZGlkIjoiNjM2ODJiY2UzNWQ3ZjZiNzk0NGU2MTE1YWFmMTllYmMifQ=="/>
  </w:docVars>
  <w:rsids>
    <w:rsidRoot w:val="00000000"/>
    <w:rsid w:val="0522236A"/>
    <w:rsid w:val="10EF368D"/>
    <w:rsid w:val="153D39E4"/>
    <w:rsid w:val="16500A3A"/>
    <w:rsid w:val="16CF461B"/>
    <w:rsid w:val="1EFF19EE"/>
    <w:rsid w:val="365D78C2"/>
    <w:rsid w:val="368957BD"/>
    <w:rsid w:val="37C217B8"/>
    <w:rsid w:val="3AB96FDB"/>
    <w:rsid w:val="4C5365B2"/>
    <w:rsid w:val="4D8961FF"/>
    <w:rsid w:val="50450570"/>
    <w:rsid w:val="52F25F96"/>
    <w:rsid w:val="5409110D"/>
    <w:rsid w:val="54B3621B"/>
    <w:rsid w:val="58A04B19"/>
    <w:rsid w:val="5DCD2923"/>
    <w:rsid w:val="5E9E42DD"/>
    <w:rsid w:val="5EB6AF95"/>
    <w:rsid w:val="61F21FBB"/>
    <w:rsid w:val="66715285"/>
    <w:rsid w:val="6CDD725A"/>
    <w:rsid w:val="75D86B87"/>
    <w:rsid w:val="76B7147C"/>
    <w:rsid w:val="7E7FE728"/>
    <w:rsid w:val="7FD3E85C"/>
    <w:rsid w:val="8F9E7009"/>
    <w:rsid w:val="BFBF940A"/>
    <w:rsid w:val="DFFF0641"/>
    <w:rsid w:val="EFC79E46"/>
    <w:rsid w:val="F3FBBDED"/>
    <w:rsid w:val="F3FDD375"/>
    <w:rsid w:val="FDBFFF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9"/>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20"/>
    <w:qFormat/>
    <w:uiPriority w:val="0"/>
    <w:pPr>
      <w:keepNext/>
      <w:keepLines/>
      <w:spacing w:before="260" w:after="260" w:line="415" w:lineRule="auto"/>
      <w:outlineLvl w:val="1"/>
    </w:pPr>
    <w:rPr>
      <w:rFonts w:ascii="文泉驿微米黑" w:hAnsi="文泉驿微米黑" w:eastAsia="黑体"/>
      <w:b/>
      <w:bCs/>
      <w:sz w:val="32"/>
      <w:szCs w:val="32"/>
    </w:rPr>
  </w:style>
  <w:style w:type="paragraph" w:styleId="4">
    <w:name w:val="heading 3"/>
    <w:basedOn w:val="1"/>
    <w:next w:val="1"/>
    <w:link w:val="21"/>
    <w:qFormat/>
    <w:uiPriority w:val="0"/>
    <w:pPr>
      <w:keepNext/>
      <w:keepLines/>
      <w:spacing w:before="260" w:after="260" w:line="415" w:lineRule="auto"/>
      <w:outlineLvl w:val="2"/>
    </w:pPr>
    <w:rPr>
      <w:b/>
      <w:bCs/>
      <w:sz w:val="32"/>
      <w:szCs w:val="32"/>
    </w:rPr>
  </w:style>
  <w:style w:type="character" w:default="1" w:styleId="16">
    <w:name w:val="Default Paragraph Font"/>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5">
    <w:name w:val="Normal Indent"/>
    <w:basedOn w:val="1"/>
    <w:qFormat/>
    <w:uiPriority w:val="0"/>
    <w:pPr>
      <w:adjustRightInd w:val="0"/>
      <w:spacing w:line="410" w:lineRule="atLeast"/>
      <w:ind w:firstLine="420"/>
      <w:jc w:val="left"/>
      <w:textAlignment w:val="baseline"/>
    </w:pPr>
    <w:rPr>
      <w:rFonts w:ascii="宋体"/>
      <w:kern w:val="0"/>
      <w:sz w:val="24"/>
      <w:szCs w:val="20"/>
    </w:rPr>
  </w:style>
  <w:style w:type="paragraph" w:styleId="6">
    <w:name w:val="annotation text"/>
    <w:basedOn w:val="1"/>
    <w:qFormat/>
    <w:uiPriority w:val="0"/>
    <w:pPr>
      <w:jc w:val="left"/>
    </w:pPr>
  </w:style>
  <w:style w:type="paragraph" w:styleId="7">
    <w:name w:val="Body Text"/>
    <w:basedOn w:val="1"/>
    <w:next w:val="8"/>
    <w:qFormat/>
    <w:uiPriority w:val="0"/>
    <w:pPr>
      <w:spacing w:after="120"/>
    </w:pPr>
    <w:rPr>
      <w:rFonts w:ascii="Calibri" w:hAnsi="Calibri" w:eastAsia="宋体" w:cs="Times New Roman"/>
    </w:rPr>
  </w:style>
  <w:style w:type="paragraph" w:styleId="8">
    <w:name w:val="Body Text First Indent"/>
    <w:basedOn w:val="7"/>
    <w:next w:val="7"/>
    <w:qFormat/>
    <w:uiPriority w:val="0"/>
    <w:pPr>
      <w:spacing w:line="240" w:lineRule="auto"/>
      <w:ind w:firstLine="420" w:firstLineChars="100"/>
    </w:pPr>
    <w:rPr>
      <w:rFonts w:ascii="Calibri" w:hAnsi="Calibri" w:eastAsia="宋体" w:cs="Times New Roman"/>
      <w:sz w:val="21"/>
      <w:szCs w:val="24"/>
    </w:rPr>
  </w:style>
  <w:style w:type="paragraph" w:styleId="9">
    <w:name w:val="Body Text Indent"/>
    <w:basedOn w:val="1"/>
    <w:next w:val="10"/>
    <w:qFormat/>
    <w:uiPriority w:val="0"/>
    <w:pPr>
      <w:widowControl w:val="0"/>
      <w:spacing w:after="120"/>
      <w:ind w:left="200" w:leftChars="200"/>
      <w:jc w:val="both"/>
    </w:pPr>
    <w:rPr>
      <w:rFonts w:ascii="Calibri" w:hAnsi="Calibri" w:eastAsia="宋体" w:cs="Times New Roman"/>
      <w:kern w:val="2"/>
      <w:sz w:val="21"/>
      <w:szCs w:val="24"/>
      <w:lang w:val="en-US" w:eastAsia="zh-CN" w:bidi="ar-SA"/>
    </w:rPr>
  </w:style>
  <w:style w:type="paragraph" w:styleId="10">
    <w:name w:val="footer"/>
    <w:basedOn w:val="1"/>
    <w:qFormat/>
    <w:uiPriority w:val="0"/>
    <w:pPr>
      <w:tabs>
        <w:tab w:val="center" w:pos="4819"/>
        <w:tab w:val="right" w:pos="9071"/>
      </w:tabs>
      <w:adjustRightInd w:val="0"/>
      <w:spacing w:line="240" w:lineRule="atLeast"/>
      <w:jc w:val="left"/>
      <w:textAlignment w:val="baseline"/>
    </w:pPr>
    <w:rPr>
      <w:rFonts w:ascii="宋体"/>
      <w:kern w:val="0"/>
      <w:sz w:val="18"/>
      <w:szCs w:val="20"/>
    </w:rPr>
  </w:style>
  <w:style w:type="paragraph" w:styleId="11">
    <w:name w:val="header"/>
    <w:basedOn w:val="1"/>
    <w:qFormat/>
    <w:uiPriority w:val="0"/>
    <w:pPr>
      <w:pBdr>
        <w:bottom w:val="single" w:color="auto" w:sz="6" w:space="1"/>
      </w:pBdr>
      <w:tabs>
        <w:tab w:val="center" w:pos="4819"/>
        <w:tab w:val="right" w:pos="9071"/>
      </w:tabs>
      <w:adjustRightInd w:val="0"/>
      <w:spacing w:line="240" w:lineRule="atLeast"/>
      <w:ind w:left="1191" w:hanging="1191"/>
      <w:jc w:val="center"/>
      <w:textAlignment w:val="baseline"/>
    </w:pPr>
    <w:rPr>
      <w:rFonts w:ascii="宋体"/>
      <w:kern w:val="0"/>
      <w:sz w:val="18"/>
      <w:szCs w:val="20"/>
    </w:rPr>
  </w:style>
  <w:style w:type="paragraph" w:styleId="12">
    <w:name w:val="Normal (Web)"/>
    <w:basedOn w:val="1"/>
    <w:qFormat/>
    <w:uiPriority w:val="0"/>
    <w:pPr>
      <w:widowControl/>
      <w:spacing w:before="100" w:beforeAutospacing="1" w:after="100" w:afterAutospacing="1" w:line="288" w:lineRule="auto"/>
      <w:jc w:val="left"/>
    </w:pPr>
    <w:rPr>
      <w:rFonts w:ascii="宋体" w:hAnsi="宋体" w:cs="宋体"/>
      <w:kern w:val="0"/>
      <w:sz w:val="24"/>
    </w:rPr>
  </w:style>
  <w:style w:type="paragraph" w:styleId="13">
    <w:name w:val="Body Text First Indent 2"/>
    <w:basedOn w:val="9"/>
    <w:next w:val="14"/>
    <w:qFormat/>
    <w:uiPriority w:val="0"/>
    <w:pPr>
      <w:widowControl w:val="0"/>
      <w:spacing w:after="120"/>
      <w:ind w:left="420" w:leftChars="0" w:firstLine="210"/>
      <w:jc w:val="both"/>
    </w:pPr>
    <w:rPr>
      <w:rFonts w:ascii="Calibri" w:hAnsi="宋体" w:eastAsia="宋体" w:cs="Times New Roman"/>
      <w:kern w:val="2"/>
      <w:sz w:val="21"/>
      <w:szCs w:val="24"/>
      <w:lang w:val="en-US" w:eastAsia="zh-CN" w:bidi="ar-SA"/>
    </w:rPr>
  </w:style>
  <w:style w:type="paragraph" w:customStyle="1" w:styleId="14">
    <w:name w:val="Default"/>
    <w:qFormat/>
    <w:uiPriority w:val="0"/>
    <w:pPr>
      <w:widowControl w:val="0"/>
      <w:autoSpaceDE w:val="0"/>
      <w:autoSpaceDN w:val="0"/>
      <w:adjustRightInd w:val="0"/>
    </w:pPr>
    <w:rPr>
      <w:rFonts w:ascii="仿宋" w:hAnsi="仿宋" w:eastAsia="宋体" w:cs="仿宋"/>
      <w:color w:val="000000"/>
      <w:sz w:val="24"/>
      <w:szCs w:val="24"/>
      <w:lang w:val="en-US" w:eastAsia="zh-CN" w:bidi="ar-SA"/>
    </w:rPr>
  </w:style>
  <w:style w:type="character" w:styleId="17">
    <w:name w:val="Hyperlink"/>
    <w:qFormat/>
    <w:uiPriority w:val="0"/>
    <w:rPr>
      <w:color w:val="0000FF"/>
      <w:u w:val="single"/>
    </w:rPr>
  </w:style>
  <w:style w:type="paragraph" w:customStyle="1" w:styleId="18">
    <w:name w:val="正文首行缩进1"/>
    <w:basedOn w:val="7"/>
    <w:qFormat/>
    <w:uiPriority w:val="0"/>
    <w:pPr>
      <w:ind w:firstLine="420" w:firstLineChars="100"/>
    </w:pPr>
    <w:rPr>
      <w:rFonts w:ascii="Calibri" w:hAnsi="Calibri" w:eastAsia="宋体" w:cs="Times New Roman"/>
      <w:szCs w:val="22"/>
    </w:rPr>
  </w:style>
  <w:style w:type="character" w:customStyle="1" w:styleId="19">
    <w:name w:val="heading 1 Char"/>
    <w:basedOn w:val="16"/>
    <w:link w:val="2"/>
    <w:qFormat/>
    <w:uiPriority w:val="0"/>
    <w:rPr>
      <w:rFonts w:ascii="Times New Roman" w:hAnsi="Times New Roman" w:eastAsia="宋体" w:cs="Times New Roman"/>
      <w:b/>
      <w:bCs/>
      <w:kern w:val="44"/>
      <w:sz w:val="44"/>
      <w:szCs w:val="44"/>
      <w:lang w:val="en-US" w:eastAsia="zh-CN" w:bidi="ar-SA"/>
    </w:rPr>
  </w:style>
  <w:style w:type="character" w:customStyle="1" w:styleId="20">
    <w:name w:val="heading 2 Char"/>
    <w:basedOn w:val="16"/>
    <w:link w:val="3"/>
    <w:qFormat/>
    <w:uiPriority w:val="0"/>
    <w:rPr>
      <w:rFonts w:ascii="文泉驿微米黑" w:hAnsi="Times New Roman" w:eastAsia="黑体" w:cs="Times New Roman"/>
      <w:b/>
      <w:bCs/>
      <w:kern w:val="2"/>
      <w:sz w:val="32"/>
      <w:szCs w:val="32"/>
      <w:lang w:val="en-US" w:eastAsia="zh-CN" w:bidi="ar-SA"/>
    </w:rPr>
  </w:style>
  <w:style w:type="character" w:customStyle="1" w:styleId="21">
    <w:name w:val="heading 3 Char"/>
    <w:basedOn w:val="16"/>
    <w:link w:val="4"/>
    <w:qFormat/>
    <w:uiPriority w:val="0"/>
    <w:rPr>
      <w:rFonts w:ascii="Times New Roman" w:hAnsi="Times New Roman" w:eastAsia="宋体" w:cs="Times New Roman"/>
      <w:b/>
      <w:bCs/>
      <w:kern w:val="2"/>
      <w:sz w:val="32"/>
      <w:szCs w:val="32"/>
      <w:lang w:val="en-US" w:eastAsia="zh-CN" w:bidi="ar-SA"/>
    </w:rPr>
  </w:style>
  <w:style w:type="paragraph" w:customStyle="1" w:styleId="22">
    <w:name w:val="文档正文"/>
    <w:basedOn w:val="1"/>
    <w:qFormat/>
    <w:uiPriority w:val="0"/>
    <w:pPr>
      <w:adjustRightInd w:val="0"/>
      <w:spacing w:line="312" w:lineRule="atLeast"/>
      <w:ind w:firstLine="567"/>
      <w:textAlignment w:val="baseline"/>
    </w:pPr>
    <w:rPr>
      <w:rFonts w:ascii="长城仿宋" w:eastAsia="长城仿宋"/>
      <w:kern w:val="0"/>
      <w:sz w:val="28"/>
      <w:szCs w:val="20"/>
    </w:rPr>
  </w:style>
  <w:style w:type="paragraph" w:customStyle="1" w:styleId="23">
    <w:name w:val="正文，段落，小四，22磅行距"/>
    <w:basedOn w:val="1"/>
    <w:qFormat/>
    <w:uiPriority w:val="0"/>
    <w:pPr>
      <w:spacing w:before="80" w:after="40" w:line="440" w:lineRule="exact"/>
      <w:ind w:firstLine="420" w:firstLineChars="0"/>
    </w:pPr>
    <w:rPr>
      <w:rFonts w:ascii="Arial" w:hAnsi="Arial" w:eastAsia="宋体" w:cs="Times New Roman"/>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主题">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1"/>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1"/>
        </a:gradFill>
      </a:fillStyleLst>
      <a:lnStyleLst>
        <a:ln w="6350" cap="flat" cmpd="sng">
          <a:solidFill>
            <a:schemeClr val="phClr"/>
          </a:solidFill>
          <a:prstDash val="solid"/>
          <a:miter/>
        </a:ln>
        <a:ln w="12700" cap="flat" cmpd="sng">
          <a:solidFill>
            <a:schemeClr val="phClr"/>
          </a:solidFill>
          <a:prstDash val="solid"/>
          <a:miter/>
        </a:ln>
        <a:ln w="19050" cap="flat" cmpd="sng">
          <a:solidFill>
            <a:schemeClr val="phClr"/>
          </a:solidFill>
          <a:prstDash val="solid"/>
          <a:miter/>
        </a:ln>
      </a:lnStyleLst>
      <a:effectStyleLst>
        <a:effectStyle>
          <a:effectLst/>
        </a:effectStyle>
        <a:effectStyle>
          <a:effectLst/>
        </a:effectStyle>
        <a:effectStyle>
          <a:effectLst>
            <a:outerShdw blurRad="57150" dist="19050" dir="5400000" algn="ctr" rotWithShape="0">
              <a:srgbClr val="000000">
                <a:alpha val="62745"/>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1"/>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12</Pages>
  <Words>3000</Words>
  <Characters>3362</Characters>
  <Lines>0</Lines>
  <Paragraphs>36</Paragraphs>
  <TotalTime>0</TotalTime>
  <ScaleCrop>false</ScaleCrop>
  <LinksUpToDate>false</LinksUpToDate>
  <CharactersWithSpaces>3425</CharactersWithSpaces>
  <Application>WPS Office_12.8.2.18605_F1E327BC-269C-435d-A152-05C5408002CA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2023-01-21T14:53:00Z</dcterms:created>
  <dc:creator>白志军</dc:creator>
  <cp:lastModifiedBy>赵博浩</cp:lastModifiedBy>
  <cp:lastPrinted>2025-05-09T09:28:00Z</cp:lastPrinted>
  <dcterms:modified xsi:type="dcterms:W3CDTF">2025-05-09T10:39:51Z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2052-12.8.2.18605</vt:lpwstr>
  </property>
  <property fmtid="{D5CDD505-2E9C-101B-9397-08002B2CF9AE}" pid="3" name="ICV">
    <vt:lpwstr>9B65849C5E87487F8F18388767C8095D_13</vt:lpwstr>
  </property>
  <property fmtid="{D5CDD505-2E9C-101B-9397-08002B2CF9AE}" pid="4" name="KSOTemplateDocerSaveRecord">
    <vt:lpwstr>eyJoZGlkIjoiMTRhZWY4ZWVkMGZkZjUyNGM5ZWRmZTQ1ZTk3NzI2M2IiLCJ1c2VySWQiOiI0ODY5NTU4ODUifQ==</vt:lpwstr>
  </property>
</Properties>
</file>